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D7E8" w14:textId="77777777" w:rsidR="003C50B5" w:rsidRPr="00276AC5" w:rsidRDefault="003C50B5" w:rsidP="00276AC5">
      <w:pPr>
        <w:spacing w:line="276" w:lineRule="auto"/>
        <w:ind w:firstLine="0"/>
        <w:jc w:val="left"/>
        <w:rPr>
          <w:rFonts w:ascii="Arial Narrow" w:hAnsi="Arial Narrow"/>
          <w:b/>
          <w:color w:val="00B050"/>
        </w:rPr>
      </w:pPr>
      <w:bookmarkStart w:id="0" w:name="_Toc75873789"/>
      <w:r w:rsidRPr="00276AC5">
        <w:rPr>
          <w:rFonts w:ascii="Arial Narrow" w:hAnsi="Arial Narrow"/>
          <w:b/>
          <w:color w:val="00B050"/>
        </w:rPr>
        <w:t>II. CHARAKTERYSTYKA</w:t>
      </w:r>
      <w:bookmarkEnd w:id="0"/>
      <w:r w:rsidRPr="00276AC5">
        <w:rPr>
          <w:rFonts w:ascii="Arial Narrow" w:hAnsi="Arial Narrow"/>
          <w:b/>
          <w:color w:val="00B050"/>
        </w:rPr>
        <w:t xml:space="preserve"> OBSZARU I LUDNOŚĆI OBJĘTEJ WDRAŻANIEM LSR</w:t>
      </w:r>
    </w:p>
    <w:p w14:paraId="11DFD453" w14:textId="77777777" w:rsidR="003C50B5" w:rsidRPr="00276AC5" w:rsidRDefault="003C50B5" w:rsidP="00276AC5">
      <w:pPr>
        <w:spacing w:line="276" w:lineRule="auto"/>
        <w:ind w:firstLine="0"/>
        <w:jc w:val="left"/>
        <w:rPr>
          <w:rFonts w:ascii="Arial Narrow" w:hAnsi="Arial Narrow"/>
          <w:b/>
          <w:color w:val="00B050"/>
        </w:rPr>
      </w:pPr>
      <w:bookmarkStart w:id="1" w:name="_Toc75873791"/>
      <w:r w:rsidRPr="00276AC5">
        <w:rPr>
          <w:rFonts w:ascii="Arial Narrow" w:hAnsi="Arial Narrow"/>
          <w:b/>
          <w:color w:val="00B050"/>
        </w:rPr>
        <w:t>II.1 Opis obszaru</w:t>
      </w:r>
      <w:bookmarkEnd w:id="1"/>
    </w:p>
    <w:p w14:paraId="52E11CFD" w14:textId="77777777" w:rsidR="003C50B5" w:rsidRPr="003C50B5" w:rsidRDefault="003C50B5" w:rsidP="003C50B5">
      <w:pPr>
        <w:spacing w:line="276" w:lineRule="auto"/>
        <w:ind w:firstLine="0"/>
        <w:rPr>
          <w:rFonts w:ascii="Arial Narrow" w:hAnsi="Arial Narrow"/>
        </w:rPr>
      </w:pPr>
    </w:p>
    <w:p w14:paraId="2121EF87" w14:textId="77777777" w:rsidR="00837361" w:rsidRDefault="003C50B5" w:rsidP="00837361">
      <w:pPr>
        <w:spacing w:line="276" w:lineRule="auto"/>
        <w:ind w:firstLine="0"/>
        <w:rPr>
          <w:rFonts w:ascii="Arial Narrow" w:hAnsi="Arial Narrow"/>
        </w:rPr>
      </w:pPr>
      <w:r w:rsidRPr="003C50B5">
        <w:rPr>
          <w:rFonts w:ascii="Arial Narrow" w:hAnsi="Arial Narrow"/>
        </w:rPr>
        <w:t>W skład obszaru objętego LSR wchodzi dziesięć gmin zlokalizowanych w północnej części województwa lubuskiego:</w:t>
      </w:r>
    </w:p>
    <w:p w14:paraId="2DEECAD0" w14:textId="77777777" w:rsidR="00837361" w:rsidRDefault="003C50B5" w:rsidP="00837361">
      <w:pPr>
        <w:pStyle w:val="Akapitzlist"/>
        <w:numPr>
          <w:ilvl w:val="0"/>
          <w:numId w:val="4"/>
        </w:numPr>
        <w:spacing w:line="276" w:lineRule="auto"/>
        <w:rPr>
          <w:rFonts w:ascii="Arial Narrow" w:hAnsi="Arial Narrow"/>
        </w:rPr>
      </w:pPr>
      <w:r w:rsidRPr="00837361">
        <w:rPr>
          <w:rFonts w:ascii="Arial Narrow" w:hAnsi="Arial Narrow"/>
        </w:rPr>
        <w:t>gminy: Krzeszyce, Lubniewice, Sulęcin, Torzym (powiat sulęciński);</w:t>
      </w:r>
    </w:p>
    <w:p w14:paraId="3CE74CF4" w14:textId="77777777" w:rsidR="003C50B5" w:rsidRPr="00837361" w:rsidRDefault="003C50B5" w:rsidP="00837361">
      <w:pPr>
        <w:pStyle w:val="Akapitzlist"/>
        <w:numPr>
          <w:ilvl w:val="0"/>
          <w:numId w:val="4"/>
        </w:numPr>
        <w:spacing w:line="276" w:lineRule="auto"/>
        <w:rPr>
          <w:rFonts w:ascii="Arial Narrow" w:hAnsi="Arial Narrow"/>
        </w:rPr>
      </w:pPr>
      <w:r w:rsidRPr="00837361">
        <w:rPr>
          <w:rFonts w:ascii="Arial Narrow" w:hAnsi="Arial Narrow"/>
        </w:rPr>
        <w:t>gminy: Bogdaniec, Deszczno, Kłodawa, Lubiszyn, Santok (powiat gorzowski ziemski);</w:t>
      </w:r>
    </w:p>
    <w:p w14:paraId="107FF9BF" w14:textId="77777777" w:rsidR="003C50B5" w:rsidRPr="003C50B5" w:rsidRDefault="003C50B5" w:rsidP="00837361">
      <w:pPr>
        <w:pStyle w:val="Akapitzlist"/>
        <w:numPr>
          <w:ilvl w:val="0"/>
          <w:numId w:val="4"/>
        </w:numPr>
        <w:spacing w:line="276" w:lineRule="auto"/>
        <w:jc w:val="both"/>
        <w:rPr>
          <w:rFonts w:ascii="Arial Narrow" w:hAnsi="Arial Narrow"/>
        </w:rPr>
      </w:pPr>
      <w:r w:rsidRPr="003C50B5">
        <w:rPr>
          <w:rFonts w:ascii="Arial Narrow" w:hAnsi="Arial Narrow"/>
        </w:rPr>
        <w:t>gmina Ośno Lubuskie (powiat słubicki).</w:t>
      </w:r>
    </w:p>
    <w:p w14:paraId="189CC458" w14:textId="77777777" w:rsidR="003C50B5" w:rsidRPr="003C50B5" w:rsidRDefault="003C50B5" w:rsidP="003C50B5">
      <w:pPr>
        <w:spacing w:line="276" w:lineRule="auto"/>
        <w:ind w:firstLine="0"/>
        <w:rPr>
          <w:rFonts w:ascii="Arial Narrow" w:hAnsi="Arial Narrow"/>
          <w:color w:val="FF0000"/>
        </w:rPr>
      </w:pPr>
      <w:r w:rsidRPr="003C50B5">
        <w:rPr>
          <w:rFonts w:ascii="Arial Narrow" w:hAnsi="Arial Narrow"/>
        </w:rPr>
        <w:t>Każda para gmin pozostaje w bezpośrednim lub przynajmniej w dalszym sąsiedztwie, tworząc tym samym zwarty geograficznie obszar. Łączna powierzchnia gmin wynosi 2106 km². Cztery gminy to gminy miejsko- wiejskie, a pozostałe  sześć to gminy wiejskie.</w:t>
      </w:r>
      <w:r w:rsidR="00837361">
        <w:rPr>
          <w:rFonts w:ascii="Arial Narrow" w:hAnsi="Arial Narrow"/>
        </w:rPr>
        <w:t xml:space="preserve"> </w:t>
      </w:r>
      <w:r w:rsidRPr="003C50B5">
        <w:rPr>
          <w:rFonts w:ascii="Arial Narrow" w:hAnsi="Arial Narrow"/>
        </w:rPr>
        <w:t>Obszar objęty LSR</w:t>
      </w:r>
      <w:r w:rsidRPr="003C50B5">
        <w:rPr>
          <w:rFonts w:ascii="Arial Narrow" w:hAnsi="Arial Narrow"/>
          <w:color w:val="FF0000"/>
        </w:rPr>
        <w:t xml:space="preserve"> </w:t>
      </w:r>
      <w:r w:rsidRPr="003C50B5">
        <w:rPr>
          <w:rFonts w:ascii="Arial Narrow" w:hAnsi="Arial Narrow"/>
        </w:rPr>
        <w:t xml:space="preserve">zamieszkuje  </w:t>
      </w:r>
      <w:r w:rsidRPr="003C50B5">
        <w:rPr>
          <w:rFonts w:ascii="Arial Narrow" w:hAnsi="Arial Narrow"/>
          <w:b/>
          <w:bCs/>
        </w:rPr>
        <w:t>78 104 osoby,</w:t>
      </w:r>
      <w:r w:rsidRPr="003C50B5">
        <w:rPr>
          <w:rFonts w:ascii="Arial Narrow" w:hAnsi="Arial Narrow"/>
        </w:rPr>
        <w:t xml:space="preserve">  z czego w miastach mieszka </w:t>
      </w:r>
      <w:r w:rsidRPr="003C50B5">
        <w:rPr>
          <w:rFonts w:ascii="Arial Narrow" w:hAnsi="Arial Narrow"/>
          <w:b/>
        </w:rPr>
        <w:t>18 383 osób</w:t>
      </w:r>
      <w:r w:rsidRPr="003C50B5">
        <w:rPr>
          <w:rFonts w:ascii="Arial Narrow" w:hAnsi="Arial Narrow"/>
        </w:rPr>
        <w:t xml:space="preserve">, a na wsi </w:t>
      </w:r>
      <w:r w:rsidRPr="003C50B5">
        <w:rPr>
          <w:rFonts w:ascii="Arial Narrow" w:hAnsi="Arial Narrow"/>
          <w:b/>
          <w:bCs/>
        </w:rPr>
        <w:t>59 721</w:t>
      </w:r>
      <w:r w:rsidRPr="003C50B5">
        <w:rPr>
          <w:rFonts w:ascii="Arial Narrow" w:hAnsi="Arial Narrow"/>
        </w:rPr>
        <w:t xml:space="preserve"> osób (wg stanu na 31.12.2020 r.). Szczegółowe dane dotyczące powierzchni gmin tworzących obszar LGD oraz liczby mieszkańców przedstawia Tabela 1.</w:t>
      </w:r>
    </w:p>
    <w:p w14:paraId="51252109" w14:textId="77777777" w:rsidR="003C50B5" w:rsidRPr="003C50B5" w:rsidRDefault="003C50B5" w:rsidP="003C50B5">
      <w:pPr>
        <w:spacing w:line="276" w:lineRule="auto"/>
        <w:rPr>
          <w:rFonts w:ascii="Arial Narrow" w:hAnsi="Arial Narrow"/>
        </w:rPr>
      </w:pPr>
    </w:p>
    <w:p w14:paraId="18713189" w14:textId="77777777" w:rsidR="003C50B5" w:rsidRDefault="003C50B5" w:rsidP="00837361">
      <w:pPr>
        <w:pStyle w:val="Legenda"/>
        <w:spacing w:line="276" w:lineRule="auto"/>
        <w:ind w:firstLine="0"/>
        <w:rPr>
          <w:rFonts w:ascii="Arial Narrow" w:hAnsi="Arial Narrow"/>
          <w:b w:val="0"/>
          <w:color w:val="auto"/>
          <w:sz w:val="22"/>
          <w:szCs w:val="22"/>
        </w:rPr>
      </w:pPr>
      <w:r w:rsidRPr="003C50B5">
        <w:rPr>
          <w:rFonts w:ascii="Arial Narrow" w:hAnsi="Arial Narrow"/>
          <w:b w:val="0"/>
          <w:color w:val="auto"/>
          <w:sz w:val="22"/>
          <w:szCs w:val="22"/>
        </w:rPr>
        <w:t xml:space="preserve">Tabela </w:t>
      </w:r>
      <w:r w:rsidRPr="003C50B5">
        <w:rPr>
          <w:rFonts w:ascii="Arial Narrow" w:hAnsi="Arial Narrow"/>
          <w:b w:val="0"/>
          <w:color w:val="auto"/>
          <w:sz w:val="22"/>
          <w:szCs w:val="22"/>
        </w:rPr>
        <w:fldChar w:fldCharType="begin"/>
      </w:r>
      <w:r w:rsidRPr="003C50B5">
        <w:rPr>
          <w:rFonts w:ascii="Arial Narrow" w:hAnsi="Arial Narrow"/>
          <w:b w:val="0"/>
          <w:color w:val="auto"/>
          <w:sz w:val="22"/>
          <w:szCs w:val="22"/>
        </w:rPr>
        <w:instrText xml:space="preserve"> SEQ Tabela \* ARABIC </w:instrText>
      </w:r>
      <w:r w:rsidRPr="003C50B5">
        <w:rPr>
          <w:rFonts w:ascii="Arial Narrow" w:hAnsi="Arial Narrow"/>
          <w:b w:val="0"/>
          <w:color w:val="auto"/>
          <w:sz w:val="22"/>
          <w:szCs w:val="22"/>
        </w:rPr>
        <w:fldChar w:fldCharType="separate"/>
      </w:r>
      <w:r w:rsidRPr="003C50B5">
        <w:rPr>
          <w:rFonts w:ascii="Arial Narrow" w:hAnsi="Arial Narrow"/>
          <w:b w:val="0"/>
          <w:noProof/>
          <w:color w:val="auto"/>
          <w:sz w:val="22"/>
          <w:szCs w:val="22"/>
        </w:rPr>
        <w:t>1</w:t>
      </w:r>
      <w:r w:rsidRPr="003C50B5">
        <w:rPr>
          <w:rFonts w:ascii="Arial Narrow" w:hAnsi="Arial Narrow"/>
          <w:b w:val="0"/>
          <w:color w:val="auto"/>
          <w:sz w:val="22"/>
          <w:szCs w:val="22"/>
        </w:rPr>
        <w:fldChar w:fldCharType="end"/>
      </w:r>
      <w:r w:rsidRPr="003C50B5">
        <w:rPr>
          <w:rFonts w:ascii="Arial Narrow" w:hAnsi="Arial Narrow"/>
          <w:b w:val="0"/>
          <w:color w:val="auto"/>
          <w:sz w:val="22"/>
          <w:szCs w:val="22"/>
        </w:rPr>
        <w:t xml:space="preserve"> Zestawienie gmin tworzących obszar KST-LGD</w:t>
      </w:r>
      <w:r w:rsidRPr="003C50B5">
        <w:rPr>
          <w:rStyle w:val="Odwoanieprzypisudolnego"/>
          <w:rFonts w:ascii="Arial Narrow" w:hAnsi="Arial Narrow"/>
          <w:b w:val="0"/>
          <w:color w:val="auto"/>
          <w:sz w:val="22"/>
          <w:szCs w:val="22"/>
        </w:rPr>
        <w:footnoteReference w:id="1"/>
      </w:r>
    </w:p>
    <w:p w14:paraId="49861163" w14:textId="77777777" w:rsidR="00837361" w:rsidRPr="00837361" w:rsidRDefault="00837361" w:rsidP="00837361"/>
    <w:tbl>
      <w:tblPr>
        <w:tblW w:w="10159" w:type="dxa"/>
        <w:tblCellMar>
          <w:left w:w="70" w:type="dxa"/>
          <w:right w:w="70" w:type="dxa"/>
        </w:tblCellMar>
        <w:tblLook w:val="04A0" w:firstRow="1" w:lastRow="0" w:firstColumn="1" w:lastColumn="0" w:noHBand="0" w:noVBand="1"/>
      </w:tblPr>
      <w:tblGrid>
        <w:gridCol w:w="1594"/>
        <w:gridCol w:w="1594"/>
        <w:gridCol w:w="1594"/>
        <w:gridCol w:w="1594"/>
        <w:gridCol w:w="1421"/>
        <w:gridCol w:w="1603"/>
        <w:gridCol w:w="759"/>
      </w:tblGrid>
      <w:tr w:rsidR="003C50B5" w:rsidRPr="003C50B5" w14:paraId="410B54AC" w14:textId="77777777" w:rsidTr="00F60FFF">
        <w:trPr>
          <w:trHeight w:val="581"/>
        </w:trPr>
        <w:tc>
          <w:tcPr>
            <w:tcW w:w="15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55DAC8"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województwo</w:t>
            </w:r>
          </w:p>
        </w:tc>
        <w:tc>
          <w:tcPr>
            <w:tcW w:w="1594" w:type="dxa"/>
            <w:tcBorders>
              <w:top w:val="single" w:sz="4" w:space="0" w:color="auto"/>
              <w:left w:val="nil"/>
              <w:bottom w:val="single" w:sz="4" w:space="0" w:color="auto"/>
              <w:right w:val="single" w:sz="4" w:space="0" w:color="auto"/>
            </w:tcBorders>
            <w:shd w:val="clear" w:color="000000" w:fill="D9D9D9"/>
            <w:noWrap/>
            <w:vAlign w:val="center"/>
            <w:hideMark/>
          </w:tcPr>
          <w:p w14:paraId="73B6FFFF"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Powiat</w:t>
            </w:r>
          </w:p>
        </w:tc>
        <w:tc>
          <w:tcPr>
            <w:tcW w:w="1594" w:type="dxa"/>
            <w:tcBorders>
              <w:top w:val="single" w:sz="4" w:space="0" w:color="auto"/>
              <w:left w:val="nil"/>
              <w:bottom w:val="single" w:sz="4" w:space="0" w:color="auto"/>
              <w:right w:val="single" w:sz="4" w:space="0" w:color="auto"/>
            </w:tcBorders>
            <w:shd w:val="clear" w:color="000000" w:fill="D9D9D9"/>
            <w:noWrap/>
            <w:vAlign w:val="center"/>
            <w:hideMark/>
          </w:tcPr>
          <w:p w14:paraId="4E87D591"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Gmina</w:t>
            </w:r>
          </w:p>
        </w:tc>
        <w:tc>
          <w:tcPr>
            <w:tcW w:w="1594" w:type="dxa"/>
            <w:tcBorders>
              <w:top w:val="single" w:sz="4" w:space="0" w:color="auto"/>
              <w:left w:val="nil"/>
              <w:bottom w:val="single" w:sz="4" w:space="0" w:color="auto"/>
              <w:right w:val="single" w:sz="4" w:space="0" w:color="auto"/>
            </w:tcBorders>
            <w:shd w:val="clear" w:color="000000" w:fill="D9D9D9"/>
            <w:noWrap/>
            <w:vAlign w:val="center"/>
            <w:hideMark/>
          </w:tcPr>
          <w:p w14:paraId="4C19064C"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rodzaj Gminy</w:t>
            </w:r>
          </w:p>
        </w:tc>
        <w:tc>
          <w:tcPr>
            <w:tcW w:w="1421" w:type="dxa"/>
            <w:tcBorders>
              <w:top w:val="single" w:sz="4" w:space="0" w:color="auto"/>
              <w:left w:val="nil"/>
              <w:bottom w:val="single" w:sz="4" w:space="0" w:color="auto"/>
              <w:right w:val="single" w:sz="4" w:space="0" w:color="auto"/>
            </w:tcBorders>
            <w:shd w:val="clear" w:color="000000" w:fill="D9D9D9"/>
            <w:vAlign w:val="center"/>
            <w:hideMark/>
          </w:tcPr>
          <w:p w14:paraId="77137DA7"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Powierzchnia (km2)</w:t>
            </w:r>
          </w:p>
        </w:tc>
        <w:tc>
          <w:tcPr>
            <w:tcW w:w="2362" w:type="dxa"/>
            <w:gridSpan w:val="2"/>
            <w:tcBorders>
              <w:top w:val="single" w:sz="4" w:space="0" w:color="auto"/>
              <w:left w:val="nil"/>
              <w:bottom w:val="single" w:sz="4" w:space="0" w:color="auto"/>
              <w:right w:val="single" w:sz="4" w:space="0" w:color="000000"/>
            </w:tcBorders>
            <w:shd w:val="clear" w:color="000000" w:fill="D9D9D9"/>
            <w:vAlign w:val="center"/>
            <w:hideMark/>
          </w:tcPr>
          <w:p w14:paraId="41C86D06"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Liczba ludności (osoba)</w:t>
            </w:r>
          </w:p>
        </w:tc>
      </w:tr>
      <w:tr w:rsidR="003C50B5" w:rsidRPr="003C50B5" w14:paraId="7E49D846" w14:textId="77777777" w:rsidTr="00F60FFF">
        <w:trPr>
          <w:trHeight w:val="290"/>
        </w:trPr>
        <w:tc>
          <w:tcPr>
            <w:tcW w:w="1594" w:type="dxa"/>
            <w:vMerge w:val="restart"/>
            <w:tcBorders>
              <w:top w:val="nil"/>
              <w:left w:val="single" w:sz="4" w:space="0" w:color="auto"/>
              <w:bottom w:val="single" w:sz="4" w:space="0" w:color="000000"/>
              <w:right w:val="nil"/>
            </w:tcBorders>
            <w:shd w:val="clear" w:color="auto" w:fill="auto"/>
            <w:noWrap/>
            <w:vAlign w:val="center"/>
            <w:hideMark/>
          </w:tcPr>
          <w:p w14:paraId="6ABC2DFD"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lubuskie</w:t>
            </w:r>
          </w:p>
        </w:tc>
        <w:tc>
          <w:tcPr>
            <w:tcW w:w="1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3D2524"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sulęciński</w:t>
            </w:r>
          </w:p>
        </w:tc>
        <w:tc>
          <w:tcPr>
            <w:tcW w:w="1594" w:type="dxa"/>
            <w:tcBorders>
              <w:top w:val="nil"/>
              <w:left w:val="nil"/>
              <w:bottom w:val="single" w:sz="4" w:space="0" w:color="auto"/>
              <w:right w:val="single" w:sz="4" w:space="0" w:color="auto"/>
            </w:tcBorders>
            <w:shd w:val="clear" w:color="auto" w:fill="auto"/>
            <w:noWrap/>
            <w:vAlign w:val="center"/>
            <w:hideMark/>
          </w:tcPr>
          <w:p w14:paraId="54C6B4F0"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Krzeszyce</w:t>
            </w:r>
          </w:p>
        </w:tc>
        <w:tc>
          <w:tcPr>
            <w:tcW w:w="1594" w:type="dxa"/>
            <w:tcBorders>
              <w:top w:val="nil"/>
              <w:left w:val="nil"/>
              <w:bottom w:val="single" w:sz="4" w:space="0" w:color="auto"/>
              <w:right w:val="single" w:sz="4" w:space="0" w:color="auto"/>
            </w:tcBorders>
            <w:shd w:val="clear" w:color="auto" w:fill="auto"/>
            <w:noWrap/>
            <w:vAlign w:val="center"/>
            <w:hideMark/>
          </w:tcPr>
          <w:p w14:paraId="66183360"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wiejska</w:t>
            </w:r>
          </w:p>
        </w:tc>
        <w:tc>
          <w:tcPr>
            <w:tcW w:w="1421" w:type="dxa"/>
            <w:tcBorders>
              <w:top w:val="nil"/>
              <w:left w:val="nil"/>
              <w:bottom w:val="single" w:sz="4" w:space="0" w:color="auto"/>
              <w:right w:val="single" w:sz="4" w:space="0" w:color="auto"/>
            </w:tcBorders>
            <w:shd w:val="clear" w:color="auto" w:fill="auto"/>
            <w:noWrap/>
            <w:vAlign w:val="center"/>
            <w:hideMark/>
          </w:tcPr>
          <w:p w14:paraId="4977E20F"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194</w:t>
            </w:r>
          </w:p>
        </w:tc>
        <w:tc>
          <w:tcPr>
            <w:tcW w:w="23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2840C7"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4594</w:t>
            </w:r>
          </w:p>
        </w:tc>
      </w:tr>
      <w:tr w:rsidR="003C50B5" w:rsidRPr="003C50B5" w14:paraId="24AC23DA" w14:textId="77777777" w:rsidTr="00F60FFF">
        <w:trPr>
          <w:trHeight w:val="290"/>
        </w:trPr>
        <w:tc>
          <w:tcPr>
            <w:tcW w:w="1594" w:type="dxa"/>
            <w:vMerge/>
            <w:tcBorders>
              <w:top w:val="nil"/>
              <w:left w:val="single" w:sz="4" w:space="0" w:color="auto"/>
              <w:bottom w:val="single" w:sz="4" w:space="0" w:color="000000"/>
              <w:right w:val="nil"/>
            </w:tcBorders>
            <w:vAlign w:val="center"/>
            <w:hideMark/>
          </w:tcPr>
          <w:p w14:paraId="71FAE84B"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41AE709E"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23427A"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Lubniewice</w:t>
            </w:r>
          </w:p>
        </w:tc>
        <w:tc>
          <w:tcPr>
            <w:tcW w:w="1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BA1D6F"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wiejsko-miejska</w:t>
            </w:r>
          </w:p>
        </w:tc>
        <w:tc>
          <w:tcPr>
            <w:tcW w:w="14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08005E"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130</w:t>
            </w:r>
          </w:p>
        </w:tc>
        <w:tc>
          <w:tcPr>
            <w:tcW w:w="2362" w:type="dxa"/>
            <w:gridSpan w:val="2"/>
            <w:tcBorders>
              <w:top w:val="single" w:sz="4" w:space="0" w:color="auto"/>
              <w:left w:val="nil"/>
              <w:bottom w:val="nil"/>
              <w:right w:val="single" w:sz="4" w:space="0" w:color="000000"/>
            </w:tcBorders>
            <w:shd w:val="clear" w:color="auto" w:fill="auto"/>
            <w:noWrap/>
            <w:vAlign w:val="center"/>
            <w:hideMark/>
          </w:tcPr>
          <w:p w14:paraId="7802F634"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3060</w:t>
            </w:r>
          </w:p>
        </w:tc>
      </w:tr>
      <w:tr w:rsidR="003C50B5" w:rsidRPr="003C50B5" w14:paraId="0246FD5C" w14:textId="77777777" w:rsidTr="00F60FFF">
        <w:trPr>
          <w:trHeight w:val="290"/>
        </w:trPr>
        <w:tc>
          <w:tcPr>
            <w:tcW w:w="1594" w:type="dxa"/>
            <w:vMerge/>
            <w:tcBorders>
              <w:top w:val="nil"/>
              <w:left w:val="single" w:sz="4" w:space="0" w:color="auto"/>
              <w:bottom w:val="single" w:sz="4" w:space="0" w:color="000000"/>
              <w:right w:val="nil"/>
            </w:tcBorders>
            <w:vAlign w:val="center"/>
            <w:hideMark/>
          </w:tcPr>
          <w:p w14:paraId="7AE81884"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3501743E"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13D544C5"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77BBEFA9"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421" w:type="dxa"/>
            <w:vMerge/>
            <w:tcBorders>
              <w:top w:val="nil"/>
              <w:left w:val="single" w:sz="4" w:space="0" w:color="auto"/>
              <w:bottom w:val="single" w:sz="4" w:space="0" w:color="000000"/>
              <w:right w:val="single" w:sz="4" w:space="0" w:color="auto"/>
            </w:tcBorders>
            <w:vAlign w:val="center"/>
            <w:hideMark/>
          </w:tcPr>
          <w:p w14:paraId="7FE62C23"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14:paraId="3C3843C2"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w tym miasto</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14:paraId="558C4BDB"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2020</w:t>
            </w:r>
          </w:p>
        </w:tc>
      </w:tr>
      <w:tr w:rsidR="003C50B5" w:rsidRPr="003C50B5" w14:paraId="1D17E51F" w14:textId="77777777" w:rsidTr="00F60FFF">
        <w:trPr>
          <w:trHeight w:val="290"/>
        </w:trPr>
        <w:tc>
          <w:tcPr>
            <w:tcW w:w="1594" w:type="dxa"/>
            <w:vMerge/>
            <w:tcBorders>
              <w:top w:val="nil"/>
              <w:left w:val="single" w:sz="4" w:space="0" w:color="auto"/>
              <w:bottom w:val="single" w:sz="4" w:space="0" w:color="000000"/>
              <w:right w:val="nil"/>
            </w:tcBorders>
            <w:vAlign w:val="center"/>
            <w:hideMark/>
          </w:tcPr>
          <w:p w14:paraId="78725C01"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56408B4D"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2CD9F9"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Torzym</w:t>
            </w:r>
          </w:p>
        </w:tc>
        <w:tc>
          <w:tcPr>
            <w:tcW w:w="1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B2E67F"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wiejsko-miejska</w:t>
            </w:r>
          </w:p>
        </w:tc>
        <w:tc>
          <w:tcPr>
            <w:tcW w:w="14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416316"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320</w:t>
            </w:r>
          </w:p>
        </w:tc>
        <w:tc>
          <w:tcPr>
            <w:tcW w:w="2362" w:type="dxa"/>
            <w:gridSpan w:val="2"/>
            <w:tcBorders>
              <w:top w:val="single" w:sz="4" w:space="0" w:color="auto"/>
              <w:left w:val="nil"/>
              <w:bottom w:val="nil"/>
              <w:right w:val="single" w:sz="4" w:space="0" w:color="000000"/>
            </w:tcBorders>
            <w:shd w:val="clear" w:color="auto" w:fill="auto"/>
            <w:noWrap/>
            <w:vAlign w:val="center"/>
            <w:hideMark/>
          </w:tcPr>
          <w:p w14:paraId="2D8331BD"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6459</w:t>
            </w:r>
          </w:p>
        </w:tc>
      </w:tr>
      <w:tr w:rsidR="003C50B5" w:rsidRPr="003C50B5" w14:paraId="2BFB58B3" w14:textId="77777777" w:rsidTr="00F60FFF">
        <w:trPr>
          <w:trHeight w:val="290"/>
        </w:trPr>
        <w:tc>
          <w:tcPr>
            <w:tcW w:w="1594" w:type="dxa"/>
            <w:vMerge/>
            <w:tcBorders>
              <w:top w:val="nil"/>
              <w:left w:val="single" w:sz="4" w:space="0" w:color="auto"/>
              <w:bottom w:val="single" w:sz="4" w:space="0" w:color="000000"/>
              <w:right w:val="nil"/>
            </w:tcBorders>
            <w:vAlign w:val="center"/>
            <w:hideMark/>
          </w:tcPr>
          <w:p w14:paraId="38BD9859"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5C8A701D"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45FBE3F3"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6B64ABD4"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421" w:type="dxa"/>
            <w:vMerge/>
            <w:tcBorders>
              <w:top w:val="nil"/>
              <w:left w:val="single" w:sz="4" w:space="0" w:color="auto"/>
              <w:bottom w:val="single" w:sz="4" w:space="0" w:color="000000"/>
              <w:right w:val="single" w:sz="4" w:space="0" w:color="auto"/>
            </w:tcBorders>
            <w:vAlign w:val="center"/>
            <w:hideMark/>
          </w:tcPr>
          <w:p w14:paraId="1020D9F5"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14:paraId="57563BE2"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w tym miasto</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14:paraId="22442991"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2469</w:t>
            </w:r>
          </w:p>
        </w:tc>
      </w:tr>
      <w:tr w:rsidR="003C50B5" w:rsidRPr="003C50B5" w14:paraId="093F04FE" w14:textId="77777777" w:rsidTr="00F60FFF">
        <w:trPr>
          <w:trHeight w:val="290"/>
        </w:trPr>
        <w:tc>
          <w:tcPr>
            <w:tcW w:w="1594" w:type="dxa"/>
            <w:vMerge/>
            <w:tcBorders>
              <w:top w:val="nil"/>
              <w:left w:val="single" w:sz="4" w:space="0" w:color="auto"/>
              <w:bottom w:val="single" w:sz="4" w:space="0" w:color="000000"/>
              <w:right w:val="nil"/>
            </w:tcBorders>
            <w:vAlign w:val="center"/>
            <w:hideMark/>
          </w:tcPr>
          <w:p w14:paraId="64868745"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18003D68"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40825D"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Sulęcin</w:t>
            </w:r>
          </w:p>
        </w:tc>
        <w:tc>
          <w:tcPr>
            <w:tcW w:w="1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D623D8"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wiejsko-miejska</w:t>
            </w:r>
          </w:p>
        </w:tc>
        <w:tc>
          <w:tcPr>
            <w:tcW w:w="14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29EB2F"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375</w:t>
            </w:r>
          </w:p>
        </w:tc>
        <w:tc>
          <w:tcPr>
            <w:tcW w:w="2362" w:type="dxa"/>
            <w:gridSpan w:val="2"/>
            <w:tcBorders>
              <w:top w:val="single" w:sz="4" w:space="0" w:color="auto"/>
              <w:left w:val="nil"/>
              <w:bottom w:val="nil"/>
              <w:right w:val="single" w:sz="4" w:space="0" w:color="000000"/>
            </w:tcBorders>
            <w:shd w:val="clear" w:color="auto" w:fill="auto"/>
            <w:noWrap/>
            <w:vAlign w:val="center"/>
            <w:hideMark/>
          </w:tcPr>
          <w:p w14:paraId="0630627D"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15518</w:t>
            </w:r>
          </w:p>
        </w:tc>
      </w:tr>
      <w:tr w:rsidR="003C50B5" w:rsidRPr="003C50B5" w14:paraId="0F3B35B4" w14:textId="77777777" w:rsidTr="00F60FFF">
        <w:trPr>
          <w:trHeight w:val="290"/>
        </w:trPr>
        <w:tc>
          <w:tcPr>
            <w:tcW w:w="1594" w:type="dxa"/>
            <w:vMerge/>
            <w:tcBorders>
              <w:top w:val="nil"/>
              <w:left w:val="single" w:sz="4" w:space="0" w:color="auto"/>
              <w:bottom w:val="single" w:sz="4" w:space="0" w:color="000000"/>
              <w:right w:val="nil"/>
            </w:tcBorders>
            <w:vAlign w:val="center"/>
            <w:hideMark/>
          </w:tcPr>
          <w:p w14:paraId="51AF44DC"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4BF19BCA"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0EF2757E"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069225D7"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421" w:type="dxa"/>
            <w:vMerge/>
            <w:tcBorders>
              <w:top w:val="nil"/>
              <w:left w:val="single" w:sz="4" w:space="0" w:color="auto"/>
              <w:bottom w:val="single" w:sz="4" w:space="0" w:color="000000"/>
              <w:right w:val="single" w:sz="4" w:space="0" w:color="auto"/>
            </w:tcBorders>
            <w:vAlign w:val="center"/>
            <w:hideMark/>
          </w:tcPr>
          <w:p w14:paraId="2FC24C06"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14:paraId="4BEB4E62"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 xml:space="preserve">w tym miasto </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14:paraId="1D2AD507"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10011</w:t>
            </w:r>
          </w:p>
        </w:tc>
      </w:tr>
      <w:tr w:rsidR="003C50B5" w:rsidRPr="003C50B5" w14:paraId="1C01B3F7" w14:textId="77777777" w:rsidTr="00F60FFF">
        <w:trPr>
          <w:trHeight w:val="290"/>
        </w:trPr>
        <w:tc>
          <w:tcPr>
            <w:tcW w:w="1594" w:type="dxa"/>
            <w:vMerge/>
            <w:tcBorders>
              <w:top w:val="nil"/>
              <w:left w:val="single" w:sz="4" w:space="0" w:color="auto"/>
              <w:bottom w:val="single" w:sz="4" w:space="0" w:color="000000"/>
              <w:right w:val="nil"/>
            </w:tcBorders>
            <w:vAlign w:val="center"/>
            <w:hideMark/>
          </w:tcPr>
          <w:p w14:paraId="6D87EACB"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4754A0"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gorzowski</w:t>
            </w:r>
          </w:p>
        </w:tc>
        <w:tc>
          <w:tcPr>
            <w:tcW w:w="1594" w:type="dxa"/>
            <w:tcBorders>
              <w:top w:val="nil"/>
              <w:left w:val="nil"/>
              <w:bottom w:val="single" w:sz="4" w:space="0" w:color="auto"/>
              <w:right w:val="single" w:sz="4" w:space="0" w:color="auto"/>
            </w:tcBorders>
            <w:shd w:val="clear" w:color="auto" w:fill="auto"/>
            <w:noWrap/>
            <w:vAlign w:val="center"/>
            <w:hideMark/>
          </w:tcPr>
          <w:p w14:paraId="558640BC"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Bogdaniec</w:t>
            </w:r>
          </w:p>
        </w:tc>
        <w:tc>
          <w:tcPr>
            <w:tcW w:w="1594" w:type="dxa"/>
            <w:tcBorders>
              <w:top w:val="nil"/>
              <w:left w:val="nil"/>
              <w:bottom w:val="single" w:sz="4" w:space="0" w:color="auto"/>
              <w:right w:val="single" w:sz="4" w:space="0" w:color="auto"/>
            </w:tcBorders>
            <w:shd w:val="clear" w:color="auto" w:fill="auto"/>
            <w:noWrap/>
            <w:vAlign w:val="center"/>
            <w:hideMark/>
          </w:tcPr>
          <w:p w14:paraId="1A6E587F"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wiejska</w:t>
            </w:r>
          </w:p>
        </w:tc>
        <w:tc>
          <w:tcPr>
            <w:tcW w:w="1421" w:type="dxa"/>
            <w:tcBorders>
              <w:top w:val="nil"/>
              <w:left w:val="nil"/>
              <w:bottom w:val="single" w:sz="4" w:space="0" w:color="auto"/>
              <w:right w:val="single" w:sz="4" w:space="0" w:color="auto"/>
            </w:tcBorders>
            <w:shd w:val="clear" w:color="auto" w:fill="auto"/>
            <w:noWrap/>
            <w:vAlign w:val="center"/>
            <w:hideMark/>
          </w:tcPr>
          <w:p w14:paraId="1645BEB4"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112</w:t>
            </w:r>
          </w:p>
        </w:tc>
        <w:tc>
          <w:tcPr>
            <w:tcW w:w="23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B1CC92"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7087</w:t>
            </w:r>
          </w:p>
        </w:tc>
      </w:tr>
      <w:tr w:rsidR="003C50B5" w:rsidRPr="003C50B5" w14:paraId="7CA3E096" w14:textId="77777777" w:rsidTr="00F60FFF">
        <w:trPr>
          <w:trHeight w:val="290"/>
        </w:trPr>
        <w:tc>
          <w:tcPr>
            <w:tcW w:w="1594" w:type="dxa"/>
            <w:vMerge/>
            <w:tcBorders>
              <w:top w:val="nil"/>
              <w:left w:val="single" w:sz="4" w:space="0" w:color="auto"/>
              <w:bottom w:val="single" w:sz="4" w:space="0" w:color="000000"/>
              <w:right w:val="nil"/>
            </w:tcBorders>
            <w:vAlign w:val="center"/>
            <w:hideMark/>
          </w:tcPr>
          <w:p w14:paraId="0861C3AE"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299C9F7D"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tcBorders>
              <w:top w:val="nil"/>
              <w:left w:val="nil"/>
              <w:bottom w:val="single" w:sz="4" w:space="0" w:color="auto"/>
              <w:right w:val="single" w:sz="4" w:space="0" w:color="auto"/>
            </w:tcBorders>
            <w:shd w:val="clear" w:color="auto" w:fill="auto"/>
            <w:noWrap/>
            <w:vAlign w:val="center"/>
            <w:hideMark/>
          </w:tcPr>
          <w:p w14:paraId="789F3781"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Deszczno</w:t>
            </w:r>
          </w:p>
        </w:tc>
        <w:tc>
          <w:tcPr>
            <w:tcW w:w="1594" w:type="dxa"/>
            <w:tcBorders>
              <w:top w:val="nil"/>
              <w:left w:val="nil"/>
              <w:bottom w:val="single" w:sz="4" w:space="0" w:color="auto"/>
              <w:right w:val="single" w:sz="4" w:space="0" w:color="auto"/>
            </w:tcBorders>
            <w:shd w:val="clear" w:color="auto" w:fill="auto"/>
            <w:noWrap/>
            <w:vAlign w:val="center"/>
            <w:hideMark/>
          </w:tcPr>
          <w:p w14:paraId="0F213971"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wiejska</w:t>
            </w:r>
          </w:p>
        </w:tc>
        <w:tc>
          <w:tcPr>
            <w:tcW w:w="1421" w:type="dxa"/>
            <w:tcBorders>
              <w:top w:val="nil"/>
              <w:left w:val="nil"/>
              <w:bottom w:val="single" w:sz="4" w:space="0" w:color="auto"/>
              <w:right w:val="single" w:sz="4" w:space="0" w:color="auto"/>
            </w:tcBorders>
            <w:shd w:val="clear" w:color="auto" w:fill="auto"/>
            <w:noWrap/>
            <w:vAlign w:val="center"/>
            <w:hideMark/>
          </w:tcPr>
          <w:p w14:paraId="08A554FC"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168</w:t>
            </w:r>
          </w:p>
        </w:tc>
        <w:tc>
          <w:tcPr>
            <w:tcW w:w="23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9B9EC1D"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10215</w:t>
            </w:r>
          </w:p>
        </w:tc>
      </w:tr>
      <w:tr w:rsidR="003C50B5" w:rsidRPr="003C50B5" w14:paraId="45C3E101" w14:textId="77777777" w:rsidTr="00F60FFF">
        <w:trPr>
          <w:trHeight w:val="290"/>
        </w:trPr>
        <w:tc>
          <w:tcPr>
            <w:tcW w:w="1594" w:type="dxa"/>
            <w:vMerge/>
            <w:tcBorders>
              <w:top w:val="nil"/>
              <w:left w:val="single" w:sz="4" w:space="0" w:color="auto"/>
              <w:bottom w:val="single" w:sz="4" w:space="0" w:color="000000"/>
              <w:right w:val="nil"/>
            </w:tcBorders>
            <w:vAlign w:val="center"/>
            <w:hideMark/>
          </w:tcPr>
          <w:p w14:paraId="35EBC258"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308B7A85"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tcBorders>
              <w:top w:val="nil"/>
              <w:left w:val="nil"/>
              <w:bottom w:val="single" w:sz="4" w:space="0" w:color="auto"/>
              <w:right w:val="single" w:sz="4" w:space="0" w:color="auto"/>
            </w:tcBorders>
            <w:shd w:val="clear" w:color="auto" w:fill="auto"/>
            <w:noWrap/>
            <w:vAlign w:val="center"/>
            <w:hideMark/>
          </w:tcPr>
          <w:p w14:paraId="71E7FDE8"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Kłodawa</w:t>
            </w:r>
          </w:p>
        </w:tc>
        <w:tc>
          <w:tcPr>
            <w:tcW w:w="1594" w:type="dxa"/>
            <w:tcBorders>
              <w:top w:val="nil"/>
              <w:left w:val="nil"/>
              <w:bottom w:val="single" w:sz="4" w:space="0" w:color="auto"/>
              <w:right w:val="single" w:sz="4" w:space="0" w:color="auto"/>
            </w:tcBorders>
            <w:shd w:val="clear" w:color="auto" w:fill="auto"/>
            <w:noWrap/>
            <w:vAlign w:val="center"/>
            <w:hideMark/>
          </w:tcPr>
          <w:p w14:paraId="6C0492F5"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wiejska</w:t>
            </w:r>
          </w:p>
        </w:tc>
        <w:tc>
          <w:tcPr>
            <w:tcW w:w="1421" w:type="dxa"/>
            <w:tcBorders>
              <w:top w:val="nil"/>
              <w:left w:val="nil"/>
              <w:bottom w:val="single" w:sz="4" w:space="0" w:color="auto"/>
              <w:right w:val="single" w:sz="4" w:space="0" w:color="auto"/>
            </w:tcBorders>
            <w:shd w:val="clear" w:color="auto" w:fill="auto"/>
            <w:noWrap/>
            <w:vAlign w:val="center"/>
            <w:hideMark/>
          </w:tcPr>
          <w:p w14:paraId="0686AD94"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235</w:t>
            </w:r>
          </w:p>
        </w:tc>
        <w:tc>
          <w:tcPr>
            <w:tcW w:w="23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BDC1E2"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8871</w:t>
            </w:r>
          </w:p>
        </w:tc>
      </w:tr>
      <w:tr w:rsidR="003C50B5" w:rsidRPr="003C50B5" w14:paraId="4812C4CB" w14:textId="77777777" w:rsidTr="00F60FFF">
        <w:trPr>
          <w:trHeight w:val="290"/>
        </w:trPr>
        <w:tc>
          <w:tcPr>
            <w:tcW w:w="1594" w:type="dxa"/>
            <w:vMerge/>
            <w:tcBorders>
              <w:top w:val="nil"/>
              <w:left w:val="single" w:sz="4" w:space="0" w:color="auto"/>
              <w:bottom w:val="single" w:sz="4" w:space="0" w:color="000000"/>
              <w:right w:val="nil"/>
            </w:tcBorders>
            <w:vAlign w:val="center"/>
            <w:hideMark/>
          </w:tcPr>
          <w:p w14:paraId="069BBE68"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1FE4437F"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tcBorders>
              <w:top w:val="nil"/>
              <w:left w:val="nil"/>
              <w:bottom w:val="single" w:sz="4" w:space="0" w:color="auto"/>
              <w:right w:val="single" w:sz="4" w:space="0" w:color="auto"/>
            </w:tcBorders>
            <w:shd w:val="clear" w:color="auto" w:fill="auto"/>
            <w:noWrap/>
            <w:vAlign w:val="center"/>
            <w:hideMark/>
          </w:tcPr>
          <w:p w14:paraId="12FE1CF5"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Lubiszyn</w:t>
            </w:r>
          </w:p>
        </w:tc>
        <w:tc>
          <w:tcPr>
            <w:tcW w:w="1594" w:type="dxa"/>
            <w:tcBorders>
              <w:top w:val="nil"/>
              <w:left w:val="nil"/>
              <w:bottom w:val="single" w:sz="4" w:space="0" w:color="auto"/>
              <w:right w:val="single" w:sz="4" w:space="0" w:color="auto"/>
            </w:tcBorders>
            <w:shd w:val="clear" w:color="auto" w:fill="auto"/>
            <w:noWrap/>
            <w:vAlign w:val="center"/>
            <w:hideMark/>
          </w:tcPr>
          <w:p w14:paraId="39A990DC"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wiejska</w:t>
            </w:r>
          </w:p>
        </w:tc>
        <w:tc>
          <w:tcPr>
            <w:tcW w:w="1421" w:type="dxa"/>
            <w:tcBorders>
              <w:top w:val="nil"/>
              <w:left w:val="nil"/>
              <w:bottom w:val="single" w:sz="4" w:space="0" w:color="auto"/>
              <w:right w:val="single" w:sz="4" w:space="0" w:color="auto"/>
            </w:tcBorders>
            <w:shd w:val="clear" w:color="auto" w:fill="auto"/>
            <w:noWrap/>
            <w:vAlign w:val="center"/>
            <w:hideMark/>
          </w:tcPr>
          <w:p w14:paraId="3927280E"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205</w:t>
            </w:r>
          </w:p>
        </w:tc>
        <w:tc>
          <w:tcPr>
            <w:tcW w:w="23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387CA6"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6970</w:t>
            </w:r>
          </w:p>
        </w:tc>
      </w:tr>
      <w:tr w:rsidR="003C50B5" w:rsidRPr="003C50B5" w14:paraId="4705B0D3" w14:textId="77777777" w:rsidTr="00F60FFF">
        <w:trPr>
          <w:trHeight w:val="290"/>
        </w:trPr>
        <w:tc>
          <w:tcPr>
            <w:tcW w:w="1594" w:type="dxa"/>
            <w:vMerge/>
            <w:tcBorders>
              <w:top w:val="nil"/>
              <w:left w:val="single" w:sz="4" w:space="0" w:color="auto"/>
              <w:bottom w:val="single" w:sz="4" w:space="0" w:color="000000"/>
              <w:right w:val="nil"/>
            </w:tcBorders>
            <w:vAlign w:val="center"/>
            <w:hideMark/>
          </w:tcPr>
          <w:p w14:paraId="13148D72"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1682FEE5"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tcBorders>
              <w:top w:val="nil"/>
              <w:left w:val="nil"/>
              <w:bottom w:val="single" w:sz="4" w:space="0" w:color="auto"/>
              <w:right w:val="single" w:sz="4" w:space="0" w:color="auto"/>
            </w:tcBorders>
            <w:shd w:val="clear" w:color="auto" w:fill="auto"/>
            <w:noWrap/>
            <w:vAlign w:val="center"/>
            <w:hideMark/>
          </w:tcPr>
          <w:p w14:paraId="3A795EAC"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Santok</w:t>
            </w:r>
          </w:p>
        </w:tc>
        <w:tc>
          <w:tcPr>
            <w:tcW w:w="1594" w:type="dxa"/>
            <w:tcBorders>
              <w:top w:val="nil"/>
              <w:left w:val="nil"/>
              <w:bottom w:val="single" w:sz="4" w:space="0" w:color="auto"/>
              <w:right w:val="single" w:sz="4" w:space="0" w:color="auto"/>
            </w:tcBorders>
            <w:shd w:val="clear" w:color="auto" w:fill="auto"/>
            <w:noWrap/>
            <w:vAlign w:val="center"/>
            <w:hideMark/>
          </w:tcPr>
          <w:p w14:paraId="5D31D143"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wiejska</w:t>
            </w:r>
          </w:p>
        </w:tc>
        <w:tc>
          <w:tcPr>
            <w:tcW w:w="1421" w:type="dxa"/>
            <w:tcBorders>
              <w:top w:val="nil"/>
              <w:left w:val="nil"/>
              <w:bottom w:val="single" w:sz="4" w:space="0" w:color="auto"/>
              <w:right w:val="single" w:sz="4" w:space="0" w:color="auto"/>
            </w:tcBorders>
            <w:shd w:val="clear" w:color="auto" w:fill="auto"/>
            <w:noWrap/>
            <w:vAlign w:val="center"/>
            <w:hideMark/>
          </w:tcPr>
          <w:p w14:paraId="5B35DCF1"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169</w:t>
            </w:r>
          </w:p>
        </w:tc>
        <w:tc>
          <w:tcPr>
            <w:tcW w:w="23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69EF14"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9086</w:t>
            </w:r>
          </w:p>
        </w:tc>
      </w:tr>
      <w:tr w:rsidR="003C50B5" w:rsidRPr="003C50B5" w14:paraId="46DF2EC7" w14:textId="77777777" w:rsidTr="00F60FFF">
        <w:trPr>
          <w:trHeight w:val="290"/>
        </w:trPr>
        <w:tc>
          <w:tcPr>
            <w:tcW w:w="1594" w:type="dxa"/>
            <w:vMerge/>
            <w:tcBorders>
              <w:top w:val="nil"/>
              <w:left w:val="single" w:sz="4" w:space="0" w:color="auto"/>
              <w:bottom w:val="single" w:sz="4" w:space="0" w:color="000000"/>
              <w:right w:val="nil"/>
            </w:tcBorders>
            <w:vAlign w:val="center"/>
            <w:hideMark/>
          </w:tcPr>
          <w:p w14:paraId="405D7155"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D1AC2F"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słubicki</w:t>
            </w:r>
          </w:p>
        </w:tc>
        <w:tc>
          <w:tcPr>
            <w:tcW w:w="1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C76CE8"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Ośno Lubuskie</w:t>
            </w:r>
          </w:p>
        </w:tc>
        <w:tc>
          <w:tcPr>
            <w:tcW w:w="1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A9ADFD"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wiejsko-miejska</w:t>
            </w:r>
          </w:p>
        </w:tc>
        <w:tc>
          <w:tcPr>
            <w:tcW w:w="14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84951B"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198</w:t>
            </w:r>
          </w:p>
        </w:tc>
        <w:tc>
          <w:tcPr>
            <w:tcW w:w="2362" w:type="dxa"/>
            <w:gridSpan w:val="2"/>
            <w:tcBorders>
              <w:top w:val="single" w:sz="4" w:space="0" w:color="auto"/>
              <w:left w:val="nil"/>
              <w:bottom w:val="nil"/>
              <w:right w:val="single" w:sz="4" w:space="0" w:color="000000"/>
            </w:tcBorders>
            <w:shd w:val="clear" w:color="auto" w:fill="auto"/>
            <w:noWrap/>
            <w:vAlign w:val="center"/>
            <w:hideMark/>
          </w:tcPr>
          <w:p w14:paraId="6F59109C"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6244</w:t>
            </w:r>
          </w:p>
        </w:tc>
      </w:tr>
      <w:tr w:rsidR="003C50B5" w:rsidRPr="003C50B5" w14:paraId="27D6F1D8" w14:textId="77777777" w:rsidTr="00F60FFF">
        <w:trPr>
          <w:trHeight w:val="290"/>
        </w:trPr>
        <w:tc>
          <w:tcPr>
            <w:tcW w:w="1594" w:type="dxa"/>
            <w:vMerge/>
            <w:tcBorders>
              <w:top w:val="nil"/>
              <w:left w:val="single" w:sz="4" w:space="0" w:color="auto"/>
              <w:bottom w:val="single" w:sz="4" w:space="0" w:color="000000"/>
              <w:right w:val="nil"/>
            </w:tcBorders>
            <w:vAlign w:val="center"/>
            <w:hideMark/>
          </w:tcPr>
          <w:p w14:paraId="7B1256BD"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099697AF"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7145D456"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594" w:type="dxa"/>
            <w:vMerge/>
            <w:tcBorders>
              <w:top w:val="nil"/>
              <w:left w:val="single" w:sz="4" w:space="0" w:color="auto"/>
              <w:bottom w:val="single" w:sz="4" w:space="0" w:color="000000"/>
              <w:right w:val="single" w:sz="4" w:space="0" w:color="auto"/>
            </w:tcBorders>
            <w:vAlign w:val="center"/>
            <w:hideMark/>
          </w:tcPr>
          <w:p w14:paraId="1EEFD730"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421" w:type="dxa"/>
            <w:vMerge/>
            <w:tcBorders>
              <w:top w:val="nil"/>
              <w:left w:val="single" w:sz="4" w:space="0" w:color="auto"/>
              <w:bottom w:val="single" w:sz="4" w:space="0" w:color="000000"/>
              <w:right w:val="single" w:sz="4" w:space="0" w:color="auto"/>
            </w:tcBorders>
            <w:vAlign w:val="center"/>
            <w:hideMark/>
          </w:tcPr>
          <w:p w14:paraId="721F0E4C" w14:textId="77777777" w:rsidR="003C50B5" w:rsidRPr="003C50B5" w:rsidRDefault="003C50B5" w:rsidP="003C50B5">
            <w:pPr>
              <w:spacing w:line="276" w:lineRule="auto"/>
              <w:ind w:firstLine="0"/>
              <w:rPr>
                <w:rFonts w:ascii="Arial Narrow" w:eastAsia="Times New Roman" w:hAnsi="Arial Narrow" w:cs="Calibri"/>
                <w:kern w:val="0"/>
                <w:lang w:eastAsia="pl-PL"/>
              </w:rPr>
            </w:pP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14:paraId="2C746CDA"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 xml:space="preserve">w tym miasto </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14:paraId="0980A8C3"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3883</w:t>
            </w:r>
          </w:p>
        </w:tc>
      </w:tr>
      <w:tr w:rsidR="003C50B5" w:rsidRPr="003C50B5" w14:paraId="65A9DFF3" w14:textId="77777777" w:rsidTr="00F60FFF">
        <w:trPr>
          <w:trHeight w:val="290"/>
        </w:trPr>
        <w:tc>
          <w:tcPr>
            <w:tcW w:w="637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C08BD5D"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RAZEM</w:t>
            </w:r>
          </w:p>
        </w:tc>
        <w:tc>
          <w:tcPr>
            <w:tcW w:w="1421" w:type="dxa"/>
            <w:tcBorders>
              <w:top w:val="nil"/>
              <w:left w:val="nil"/>
              <w:bottom w:val="single" w:sz="4" w:space="0" w:color="auto"/>
              <w:right w:val="single" w:sz="4" w:space="0" w:color="auto"/>
            </w:tcBorders>
            <w:shd w:val="clear" w:color="000000" w:fill="D9D9D9"/>
            <w:noWrap/>
            <w:vAlign w:val="bottom"/>
            <w:hideMark/>
          </w:tcPr>
          <w:p w14:paraId="76558714"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2106</w:t>
            </w:r>
          </w:p>
        </w:tc>
        <w:tc>
          <w:tcPr>
            <w:tcW w:w="1603" w:type="dxa"/>
            <w:tcBorders>
              <w:top w:val="nil"/>
              <w:left w:val="nil"/>
              <w:bottom w:val="single" w:sz="4" w:space="0" w:color="auto"/>
              <w:right w:val="single" w:sz="4" w:space="0" w:color="auto"/>
            </w:tcBorders>
            <w:shd w:val="clear" w:color="000000" w:fill="D9D9D9"/>
            <w:noWrap/>
            <w:vAlign w:val="bottom"/>
            <w:hideMark/>
          </w:tcPr>
          <w:p w14:paraId="4A2BF27E"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 </w:t>
            </w:r>
          </w:p>
        </w:tc>
        <w:tc>
          <w:tcPr>
            <w:tcW w:w="758" w:type="dxa"/>
            <w:tcBorders>
              <w:top w:val="nil"/>
              <w:left w:val="nil"/>
              <w:bottom w:val="single" w:sz="4" w:space="0" w:color="auto"/>
              <w:right w:val="single" w:sz="4" w:space="0" w:color="auto"/>
            </w:tcBorders>
            <w:shd w:val="clear" w:color="000000" w:fill="D9D9D9"/>
            <w:noWrap/>
            <w:vAlign w:val="bottom"/>
            <w:hideMark/>
          </w:tcPr>
          <w:p w14:paraId="130298BA"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78104</w:t>
            </w:r>
          </w:p>
        </w:tc>
      </w:tr>
    </w:tbl>
    <w:p w14:paraId="410158F3" w14:textId="77777777" w:rsidR="003C50B5" w:rsidRPr="003C50B5" w:rsidRDefault="003C50B5" w:rsidP="003C50B5">
      <w:pPr>
        <w:spacing w:after="120" w:line="276" w:lineRule="auto"/>
        <w:rPr>
          <w:rFonts w:ascii="Arial Narrow" w:hAnsi="Arial Narrow"/>
        </w:rPr>
      </w:pPr>
    </w:p>
    <w:p w14:paraId="6BBE3CCA" w14:textId="77777777" w:rsidR="003C50B5" w:rsidRPr="003C50B5" w:rsidRDefault="003C50B5" w:rsidP="003C50B5">
      <w:pPr>
        <w:spacing w:after="120" w:line="276" w:lineRule="auto"/>
        <w:rPr>
          <w:rFonts w:ascii="Arial Narrow" w:hAnsi="Arial Narrow"/>
        </w:rPr>
      </w:pPr>
    </w:p>
    <w:p w14:paraId="7C2EFB67" w14:textId="77777777" w:rsidR="003C50B5" w:rsidRPr="003C50B5" w:rsidRDefault="003C50B5" w:rsidP="003C50B5">
      <w:pPr>
        <w:spacing w:after="120" w:line="276" w:lineRule="auto"/>
        <w:rPr>
          <w:rFonts w:ascii="Arial Narrow" w:hAnsi="Arial Narrow"/>
        </w:rPr>
      </w:pPr>
    </w:p>
    <w:p w14:paraId="316F9F85" w14:textId="77777777" w:rsidR="003C50B5" w:rsidRPr="003C50B5" w:rsidRDefault="003C50B5" w:rsidP="003C50B5">
      <w:pPr>
        <w:spacing w:after="120" w:line="276" w:lineRule="auto"/>
        <w:rPr>
          <w:rFonts w:ascii="Arial Narrow" w:hAnsi="Arial Narrow"/>
        </w:rPr>
      </w:pPr>
    </w:p>
    <w:p w14:paraId="224789F5" w14:textId="77777777" w:rsidR="003C50B5" w:rsidRPr="003C50B5" w:rsidRDefault="003C50B5" w:rsidP="003C50B5">
      <w:pPr>
        <w:spacing w:after="120" w:line="276" w:lineRule="auto"/>
        <w:rPr>
          <w:rFonts w:ascii="Arial Narrow" w:hAnsi="Arial Narrow"/>
        </w:rPr>
      </w:pPr>
    </w:p>
    <w:p w14:paraId="2D845146" w14:textId="77777777" w:rsidR="003C50B5" w:rsidRPr="003C50B5" w:rsidRDefault="003C50B5" w:rsidP="003C50B5">
      <w:pPr>
        <w:spacing w:after="120" w:line="276" w:lineRule="auto"/>
        <w:rPr>
          <w:rFonts w:ascii="Arial Narrow" w:hAnsi="Arial Narrow"/>
        </w:rPr>
      </w:pPr>
    </w:p>
    <w:p w14:paraId="482EB907" w14:textId="77777777" w:rsidR="003C50B5" w:rsidRPr="003C50B5" w:rsidRDefault="003C50B5" w:rsidP="003C50B5">
      <w:pPr>
        <w:spacing w:after="120" w:line="276" w:lineRule="auto"/>
        <w:rPr>
          <w:rFonts w:ascii="Arial Narrow" w:hAnsi="Arial Narrow"/>
        </w:rPr>
      </w:pPr>
    </w:p>
    <w:p w14:paraId="437D3023" w14:textId="77777777" w:rsidR="003C50B5" w:rsidRPr="003C50B5" w:rsidRDefault="003C50B5" w:rsidP="003C50B5">
      <w:pPr>
        <w:spacing w:after="120" w:line="276" w:lineRule="auto"/>
        <w:rPr>
          <w:rFonts w:ascii="Arial Narrow" w:hAnsi="Arial Narrow"/>
        </w:rPr>
      </w:pPr>
    </w:p>
    <w:p w14:paraId="34AC8C73" w14:textId="77777777" w:rsidR="003C50B5" w:rsidRPr="00276AC5" w:rsidRDefault="003C50B5" w:rsidP="00276AC5">
      <w:pPr>
        <w:spacing w:after="120" w:line="276" w:lineRule="auto"/>
        <w:jc w:val="left"/>
        <w:rPr>
          <w:rFonts w:ascii="Arial Narrow" w:hAnsi="Arial Narrow"/>
          <w:color w:val="00B050"/>
        </w:rPr>
      </w:pPr>
    </w:p>
    <w:p w14:paraId="5A94FA88" w14:textId="77777777" w:rsidR="00276AC5" w:rsidRDefault="00276AC5" w:rsidP="00276AC5">
      <w:pPr>
        <w:pStyle w:val="Nagwek2"/>
        <w:numPr>
          <w:ilvl w:val="0"/>
          <w:numId w:val="0"/>
        </w:numPr>
        <w:spacing w:line="276" w:lineRule="auto"/>
        <w:jc w:val="left"/>
        <w:rPr>
          <w:rFonts w:ascii="Arial Narrow" w:hAnsi="Arial Narrow"/>
          <w:color w:val="00B050"/>
          <w:sz w:val="22"/>
          <w:szCs w:val="22"/>
        </w:rPr>
      </w:pPr>
    </w:p>
    <w:p w14:paraId="205C1CAF" w14:textId="77777777" w:rsidR="00276AC5" w:rsidRDefault="00276AC5" w:rsidP="00276AC5"/>
    <w:p w14:paraId="08C520EC" w14:textId="77777777" w:rsidR="00276AC5" w:rsidRPr="00276AC5" w:rsidRDefault="00276AC5" w:rsidP="00276AC5"/>
    <w:p w14:paraId="0D8CABD2" w14:textId="77777777" w:rsidR="00C35504" w:rsidRDefault="00C35504" w:rsidP="00C35504"/>
    <w:p w14:paraId="68A83F99" w14:textId="77777777" w:rsidR="00837361" w:rsidRDefault="00837361" w:rsidP="00C35504">
      <w:pPr>
        <w:ind w:firstLine="0"/>
        <w:jc w:val="left"/>
        <w:rPr>
          <w:rFonts w:ascii="Arial Narrow" w:hAnsi="Arial Narrow"/>
          <w:b/>
          <w:color w:val="00B050"/>
        </w:rPr>
      </w:pPr>
    </w:p>
    <w:p w14:paraId="199CC626" w14:textId="77777777" w:rsidR="003C50B5" w:rsidRPr="00C35504" w:rsidRDefault="003C50B5" w:rsidP="00837361">
      <w:pPr>
        <w:spacing w:line="276" w:lineRule="auto"/>
        <w:ind w:firstLine="0"/>
        <w:jc w:val="left"/>
        <w:rPr>
          <w:rFonts w:ascii="Arial Narrow" w:hAnsi="Arial Narrow"/>
          <w:b/>
          <w:color w:val="00B050"/>
        </w:rPr>
      </w:pPr>
      <w:r w:rsidRPr="00C35504">
        <w:rPr>
          <w:rFonts w:ascii="Arial Narrow" w:hAnsi="Arial Narrow"/>
          <w:b/>
          <w:color w:val="00B050"/>
        </w:rPr>
        <w:lastRenderedPageBreak/>
        <w:t xml:space="preserve">II.2 </w:t>
      </w:r>
      <w:bookmarkStart w:id="2" w:name="_Toc75873792"/>
      <w:r w:rsidRPr="00C35504">
        <w:rPr>
          <w:rFonts w:ascii="Arial Narrow" w:hAnsi="Arial Narrow"/>
          <w:b/>
          <w:color w:val="00B050"/>
        </w:rPr>
        <w:t>Mapa obszaru objętego LSR</w:t>
      </w:r>
      <w:bookmarkEnd w:id="2"/>
    </w:p>
    <w:p w14:paraId="2E6A530F" w14:textId="77777777" w:rsidR="003C50B5" w:rsidRPr="003C50B5" w:rsidRDefault="003C50B5" w:rsidP="00276AC5">
      <w:pPr>
        <w:spacing w:after="120" w:line="276" w:lineRule="auto"/>
        <w:ind w:firstLine="0"/>
        <w:rPr>
          <w:rFonts w:ascii="Arial Narrow" w:hAnsi="Arial Narrow"/>
        </w:rPr>
      </w:pPr>
      <w:r w:rsidRPr="003C50B5">
        <w:rPr>
          <w:rFonts w:ascii="Arial Narrow" w:hAnsi="Arial Narrow"/>
          <w:noProof/>
          <w:lang w:eastAsia="pl-PL"/>
        </w:rPr>
        <w:drawing>
          <wp:anchor distT="0" distB="0" distL="114300" distR="114300" simplePos="0" relativeHeight="251659264" behindDoc="0" locked="0" layoutInCell="1" allowOverlap="1" wp14:anchorId="66B3BD52" wp14:editId="1872F2FE">
            <wp:simplePos x="0" y="0"/>
            <wp:positionH relativeFrom="column">
              <wp:posOffset>396875</wp:posOffset>
            </wp:positionH>
            <wp:positionV relativeFrom="paragraph">
              <wp:posOffset>361315</wp:posOffset>
            </wp:positionV>
            <wp:extent cx="5450840" cy="670941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0840" cy="6709410"/>
                    </a:xfrm>
                    <a:prstGeom prst="rect">
                      <a:avLst/>
                    </a:prstGeom>
                    <a:noFill/>
                  </pic:spPr>
                </pic:pic>
              </a:graphicData>
            </a:graphic>
            <wp14:sizeRelH relativeFrom="margin">
              <wp14:pctWidth>0</wp14:pctWidth>
            </wp14:sizeRelH>
            <wp14:sizeRelV relativeFrom="margin">
              <wp14:pctHeight>0</wp14:pctHeight>
            </wp14:sizeRelV>
          </wp:anchor>
        </w:drawing>
      </w:r>
    </w:p>
    <w:p w14:paraId="40012337" w14:textId="77777777" w:rsidR="003C50B5" w:rsidRPr="003C50B5" w:rsidRDefault="003C50B5" w:rsidP="003C50B5">
      <w:pPr>
        <w:spacing w:after="120" w:line="276" w:lineRule="auto"/>
        <w:rPr>
          <w:rFonts w:ascii="Arial Narrow" w:hAnsi="Arial Narrow"/>
        </w:rPr>
      </w:pPr>
    </w:p>
    <w:p w14:paraId="06B0DABD" w14:textId="77777777" w:rsidR="003C50B5" w:rsidRPr="003C50B5" w:rsidRDefault="003C50B5" w:rsidP="003C50B5">
      <w:pPr>
        <w:spacing w:after="120" w:line="276" w:lineRule="auto"/>
        <w:rPr>
          <w:rFonts w:ascii="Arial Narrow" w:hAnsi="Arial Narrow"/>
        </w:rPr>
      </w:pPr>
    </w:p>
    <w:p w14:paraId="49C42B66" w14:textId="77777777" w:rsidR="003C50B5" w:rsidRPr="003C50B5" w:rsidRDefault="003C50B5" w:rsidP="003C50B5">
      <w:pPr>
        <w:spacing w:after="120" w:line="276" w:lineRule="auto"/>
        <w:rPr>
          <w:rFonts w:ascii="Arial Narrow" w:hAnsi="Arial Narrow"/>
        </w:rPr>
      </w:pPr>
    </w:p>
    <w:p w14:paraId="05C1BE60" w14:textId="77777777" w:rsidR="00276AC5" w:rsidRDefault="00276AC5" w:rsidP="00276AC5">
      <w:pPr>
        <w:pStyle w:val="Nagwek2"/>
        <w:numPr>
          <w:ilvl w:val="0"/>
          <w:numId w:val="0"/>
        </w:numPr>
        <w:spacing w:line="276" w:lineRule="auto"/>
        <w:rPr>
          <w:rFonts w:ascii="Arial Narrow" w:hAnsi="Arial Narrow"/>
          <w:sz w:val="22"/>
          <w:szCs w:val="22"/>
        </w:rPr>
      </w:pPr>
    </w:p>
    <w:p w14:paraId="74B125F0" w14:textId="77777777" w:rsidR="00276AC5" w:rsidRDefault="00276AC5" w:rsidP="00276AC5"/>
    <w:p w14:paraId="4B0969D0" w14:textId="77777777" w:rsidR="00276AC5" w:rsidRPr="00276AC5" w:rsidRDefault="00276AC5" w:rsidP="00276AC5"/>
    <w:p w14:paraId="432D33B1" w14:textId="77777777" w:rsidR="00276AC5" w:rsidRDefault="00276AC5" w:rsidP="00276AC5">
      <w:pPr>
        <w:pStyle w:val="Nagwek2"/>
        <w:numPr>
          <w:ilvl w:val="0"/>
          <w:numId w:val="0"/>
        </w:numPr>
        <w:spacing w:line="276" w:lineRule="auto"/>
        <w:jc w:val="left"/>
        <w:rPr>
          <w:rFonts w:ascii="Arial Narrow" w:hAnsi="Arial Narrow"/>
          <w:color w:val="00B050"/>
          <w:sz w:val="22"/>
          <w:szCs w:val="22"/>
        </w:rPr>
      </w:pPr>
    </w:p>
    <w:p w14:paraId="3824F30E" w14:textId="77777777" w:rsidR="00C35504" w:rsidRDefault="00C35504" w:rsidP="00C35504"/>
    <w:p w14:paraId="7C8D2D2F" w14:textId="77777777" w:rsidR="00C35504" w:rsidRPr="00C35504" w:rsidRDefault="00C35504" w:rsidP="00C35504"/>
    <w:p w14:paraId="4F0B60C1" w14:textId="77777777" w:rsidR="00C35504" w:rsidRDefault="00C35504" w:rsidP="00C35504">
      <w:pPr>
        <w:rPr>
          <w:rFonts w:ascii="Arial Narrow" w:hAnsi="Arial Narrow"/>
          <w:b/>
          <w:color w:val="00B050"/>
        </w:rPr>
      </w:pPr>
    </w:p>
    <w:p w14:paraId="028BAF8C" w14:textId="77777777" w:rsidR="00C35504" w:rsidRDefault="00C35504" w:rsidP="00C35504">
      <w:pPr>
        <w:rPr>
          <w:rFonts w:ascii="Arial Narrow" w:hAnsi="Arial Narrow"/>
          <w:b/>
          <w:color w:val="00B050"/>
        </w:rPr>
      </w:pPr>
    </w:p>
    <w:p w14:paraId="43DA42C2" w14:textId="77777777" w:rsidR="003C50B5" w:rsidRPr="00C35504" w:rsidRDefault="003C50B5" w:rsidP="00837361">
      <w:pPr>
        <w:ind w:firstLine="0"/>
        <w:jc w:val="left"/>
        <w:rPr>
          <w:rFonts w:ascii="Arial Narrow" w:hAnsi="Arial Narrow"/>
          <w:b/>
          <w:color w:val="00B050"/>
        </w:rPr>
      </w:pPr>
      <w:r w:rsidRPr="00C35504">
        <w:rPr>
          <w:rFonts w:ascii="Arial Narrow" w:hAnsi="Arial Narrow"/>
          <w:b/>
          <w:color w:val="00B050"/>
        </w:rPr>
        <w:lastRenderedPageBreak/>
        <w:t>II.3 Potencjał ludzki LGD</w:t>
      </w:r>
    </w:p>
    <w:p w14:paraId="273FEF76" w14:textId="77777777" w:rsidR="003C50B5" w:rsidRPr="003C50B5" w:rsidRDefault="003C50B5" w:rsidP="003C50B5">
      <w:pPr>
        <w:spacing w:line="276" w:lineRule="auto"/>
        <w:rPr>
          <w:rFonts w:ascii="Arial Narrow" w:hAnsi="Arial Narrow"/>
        </w:rPr>
      </w:pPr>
    </w:p>
    <w:p w14:paraId="5AD24A52" w14:textId="77777777" w:rsidR="003C50B5" w:rsidRPr="003C50B5" w:rsidRDefault="003C50B5" w:rsidP="003C50B5">
      <w:pPr>
        <w:spacing w:line="276" w:lineRule="auto"/>
        <w:rPr>
          <w:rFonts w:ascii="Arial Narrow" w:hAnsi="Arial Narrow"/>
        </w:rPr>
      </w:pPr>
    </w:p>
    <w:p w14:paraId="507A1E6E" w14:textId="77777777" w:rsidR="003C50B5" w:rsidRPr="003C50B5" w:rsidRDefault="003C50B5" w:rsidP="003C50B5">
      <w:pPr>
        <w:keepNext/>
        <w:spacing w:after="120" w:line="276" w:lineRule="auto"/>
        <w:ind w:firstLine="0"/>
        <w:rPr>
          <w:rFonts w:ascii="Arial Narrow" w:hAnsi="Arial Narrow"/>
        </w:rPr>
      </w:pPr>
      <w:r w:rsidRPr="003C50B5">
        <w:rPr>
          <w:rFonts w:ascii="Arial Narrow" w:hAnsi="Arial Narrow"/>
          <w:bCs/>
        </w:rPr>
        <w:t>Tabela 2 Liczba ludności / gęstość zaludnienia obszaru KST - LGD wg stanu na dzień 31.12.2020 r.</w:t>
      </w:r>
    </w:p>
    <w:tbl>
      <w:tblPr>
        <w:tblW w:w="10116" w:type="dxa"/>
        <w:tblCellMar>
          <w:left w:w="70" w:type="dxa"/>
          <w:right w:w="70" w:type="dxa"/>
        </w:tblCellMar>
        <w:tblLook w:val="04A0" w:firstRow="1" w:lastRow="0" w:firstColumn="1" w:lastColumn="0" w:noHBand="0" w:noVBand="1"/>
      </w:tblPr>
      <w:tblGrid>
        <w:gridCol w:w="1478"/>
        <w:gridCol w:w="1036"/>
        <w:gridCol w:w="960"/>
        <w:gridCol w:w="1267"/>
        <w:gridCol w:w="1229"/>
        <w:gridCol w:w="1382"/>
        <w:gridCol w:w="1382"/>
        <w:gridCol w:w="1382"/>
      </w:tblGrid>
      <w:tr w:rsidR="003C50B5" w:rsidRPr="003C50B5" w14:paraId="19E70DA7" w14:textId="77777777" w:rsidTr="00F60FFF">
        <w:trPr>
          <w:trHeight w:val="904"/>
        </w:trPr>
        <w:tc>
          <w:tcPr>
            <w:tcW w:w="147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EE385A"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Gminy</w:t>
            </w:r>
          </w:p>
        </w:tc>
        <w:tc>
          <w:tcPr>
            <w:tcW w:w="1036" w:type="dxa"/>
            <w:tcBorders>
              <w:top w:val="single" w:sz="4" w:space="0" w:color="auto"/>
              <w:left w:val="nil"/>
              <w:bottom w:val="single" w:sz="4" w:space="0" w:color="auto"/>
              <w:right w:val="single" w:sz="4" w:space="0" w:color="auto"/>
            </w:tcBorders>
            <w:shd w:val="clear" w:color="000000" w:fill="D9D9D9"/>
            <w:noWrap/>
            <w:vAlign w:val="center"/>
            <w:hideMark/>
          </w:tcPr>
          <w:p w14:paraId="08F4BF19"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2013</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3053D2DD"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2020</w:t>
            </w:r>
          </w:p>
        </w:tc>
        <w:tc>
          <w:tcPr>
            <w:tcW w:w="1267" w:type="dxa"/>
            <w:tcBorders>
              <w:top w:val="single" w:sz="4" w:space="0" w:color="auto"/>
              <w:left w:val="nil"/>
              <w:bottom w:val="single" w:sz="4" w:space="0" w:color="auto"/>
              <w:right w:val="single" w:sz="4" w:space="0" w:color="auto"/>
            </w:tcBorders>
            <w:shd w:val="clear" w:color="000000" w:fill="D9D9D9"/>
            <w:noWrap/>
            <w:vAlign w:val="center"/>
            <w:hideMark/>
          </w:tcPr>
          <w:p w14:paraId="1ACD2548"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różnica w %</w:t>
            </w:r>
          </w:p>
        </w:tc>
        <w:tc>
          <w:tcPr>
            <w:tcW w:w="1229" w:type="dxa"/>
            <w:tcBorders>
              <w:top w:val="single" w:sz="4" w:space="0" w:color="auto"/>
              <w:left w:val="nil"/>
              <w:bottom w:val="single" w:sz="4" w:space="0" w:color="auto"/>
              <w:right w:val="single" w:sz="4" w:space="0" w:color="auto"/>
            </w:tcBorders>
            <w:shd w:val="clear" w:color="000000" w:fill="D9D9D9"/>
            <w:vAlign w:val="center"/>
            <w:hideMark/>
          </w:tcPr>
          <w:p w14:paraId="4B1BE916"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saldo migracyjne</w:t>
            </w:r>
          </w:p>
        </w:tc>
        <w:tc>
          <w:tcPr>
            <w:tcW w:w="1382" w:type="dxa"/>
            <w:tcBorders>
              <w:top w:val="single" w:sz="4" w:space="0" w:color="auto"/>
              <w:left w:val="nil"/>
              <w:bottom w:val="single" w:sz="4" w:space="0" w:color="auto"/>
              <w:right w:val="single" w:sz="4" w:space="0" w:color="auto"/>
            </w:tcBorders>
            <w:shd w:val="clear" w:color="000000" w:fill="D9D9D9"/>
            <w:vAlign w:val="center"/>
            <w:hideMark/>
          </w:tcPr>
          <w:p w14:paraId="08C9D819"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powierzchnia w km2</w:t>
            </w:r>
          </w:p>
        </w:tc>
        <w:tc>
          <w:tcPr>
            <w:tcW w:w="1382" w:type="dxa"/>
            <w:tcBorders>
              <w:top w:val="single" w:sz="4" w:space="0" w:color="auto"/>
              <w:left w:val="nil"/>
              <w:bottom w:val="single" w:sz="4" w:space="0" w:color="auto"/>
              <w:right w:val="single" w:sz="4" w:space="0" w:color="auto"/>
            </w:tcBorders>
            <w:shd w:val="clear" w:color="000000" w:fill="D9D9D9"/>
            <w:vAlign w:val="center"/>
            <w:hideMark/>
          </w:tcPr>
          <w:p w14:paraId="4273E829"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gęstość zaludnienia na 1 km2 w 2013 roku</w:t>
            </w:r>
          </w:p>
        </w:tc>
        <w:tc>
          <w:tcPr>
            <w:tcW w:w="1382" w:type="dxa"/>
            <w:tcBorders>
              <w:top w:val="single" w:sz="4" w:space="0" w:color="auto"/>
              <w:left w:val="nil"/>
              <w:bottom w:val="single" w:sz="4" w:space="0" w:color="auto"/>
              <w:right w:val="single" w:sz="4" w:space="0" w:color="auto"/>
            </w:tcBorders>
            <w:shd w:val="clear" w:color="000000" w:fill="D9D9D9"/>
            <w:vAlign w:val="center"/>
            <w:hideMark/>
          </w:tcPr>
          <w:p w14:paraId="739E45C2"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gęstość zaludnienia na 1 km2 w 2020 roku</w:t>
            </w:r>
          </w:p>
        </w:tc>
      </w:tr>
      <w:tr w:rsidR="003C50B5" w:rsidRPr="003C50B5" w14:paraId="041422AB" w14:textId="77777777" w:rsidTr="00F60FFF">
        <w:trPr>
          <w:trHeight w:val="404"/>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500381FB"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Krzeszyce</w:t>
            </w:r>
          </w:p>
        </w:tc>
        <w:tc>
          <w:tcPr>
            <w:tcW w:w="1036" w:type="dxa"/>
            <w:tcBorders>
              <w:top w:val="nil"/>
              <w:left w:val="nil"/>
              <w:bottom w:val="single" w:sz="4" w:space="0" w:color="auto"/>
              <w:right w:val="single" w:sz="4" w:space="0" w:color="auto"/>
            </w:tcBorders>
            <w:shd w:val="clear" w:color="auto" w:fill="auto"/>
            <w:noWrap/>
            <w:vAlign w:val="center"/>
            <w:hideMark/>
          </w:tcPr>
          <w:p w14:paraId="319E4A82"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4707</w:t>
            </w:r>
          </w:p>
        </w:tc>
        <w:tc>
          <w:tcPr>
            <w:tcW w:w="960" w:type="dxa"/>
            <w:tcBorders>
              <w:top w:val="nil"/>
              <w:left w:val="nil"/>
              <w:bottom w:val="single" w:sz="4" w:space="0" w:color="auto"/>
              <w:right w:val="single" w:sz="4" w:space="0" w:color="auto"/>
            </w:tcBorders>
            <w:shd w:val="clear" w:color="auto" w:fill="auto"/>
            <w:noWrap/>
            <w:vAlign w:val="center"/>
            <w:hideMark/>
          </w:tcPr>
          <w:p w14:paraId="209D2C47"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4594</w:t>
            </w:r>
          </w:p>
        </w:tc>
        <w:tc>
          <w:tcPr>
            <w:tcW w:w="1267" w:type="dxa"/>
            <w:tcBorders>
              <w:top w:val="nil"/>
              <w:left w:val="nil"/>
              <w:bottom w:val="single" w:sz="4" w:space="0" w:color="auto"/>
              <w:right w:val="single" w:sz="4" w:space="0" w:color="auto"/>
            </w:tcBorders>
            <w:shd w:val="clear" w:color="auto" w:fill="auto"/>
            <w:noWrap/>
            <w:vAlign w:val="center"/>
            <w:hideMark/>
          </w:tcPr>
          <w:p w14:paraId="48B86B78"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-2,4</w:t>
            </w:r>
          </w:p>
        </w:tc>
        <w:tc>
          <w:tcPr>
            <w:tcW w:w="1229" w:type="dxa"/>
            <w:tcBorders>
              <w:top w:val="nil"/>
              <w:left w:val="nil"/>
              <w:bottom w:val="single" w:sz="4" w:space="0" w:color="auto"/>
              <w:right w:val="single" w:sz="4" w:space="0" w:color="auto"/>
            </w:tcBorders>
            <w:shd w:val="clear" w:color="auto" w:fill="auto"/>
            <w:noWrap/>
            <w:vAlign w:val="center"/>
            <w:hideMark/>
          </w:tcPr>
          <w:p w14:paraId="65FFC5F7"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-12</w:t>
            </w:r>
          </w:p>
        </w:tc>
        <w:tc>
          <w:tcPr>
            <w:tcW w:w="1382" w:type="dxa"/>
            <w:tcBorders>
              <w:top w:val="nil"/>
              <w:left w:val="nil"/>
              <w:bottom w:val="single" w:sz="4" w:space="0" w:color="auto"/>
              <w:right w:val="single" w:sz="4" w:space="0" w:color="auto"/>
            </w:tcBorders>
            <w:shd w:val="clear" w:color="auto" w:fill="auto"/>
            <w:noWrap/>
            <w:vAlign w:val="center"/>
            <w:hideMark/>
          </w:tcPr>
          <w:p w14:paraId="205A79BC"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194</w:t>
            </w:r>
          </w:p>
        </w:tc>
        <w:tc>
          <w:tcPr>
            <w:tcW w:w="1382" w:type="dxa"/>
            <w:tcBorders>
              <w:top w:val="nil"/>
              <w:left w:val="nil"/>
              <w:bottom w:val="single" w:sz="4" w:space="0" w:color="auto"/>
              <w:right w:val="single" w:sz="4" w:space="0" w:color="auto"/>
            </w:tcBorders>
            <w:shd w:val="clear" w:color="auto" w:fill="auto"/>
            <w:noWrap/>
            <w:vAlign w:val="center"/>
            <w:hideMark/>
          </w:tcPr>
          <w:p w14:paraId="49FCF571"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24</w:t>
            </w:r>
          </w:p>
        </w:tc>
        <w:tc>
          <w:tcPr>
            <w:tcW w:w="1382" w:type="dxa"/>
            <w:tcBorders>
              <w:top w:val="nil"/>
              <w:left w:val="nil"/>
              <w:bottom w:val="single" w:sz="4" w:space="0" w:color="auto"/>
              <w:right w:val="single" w:sz="4" w:space="0" w:color="auto"/>
            </w:tcBorders>
            <w:shd w:val="clear" w:color="auto" w:fill="auto"/>
            <w:noWrap/>
            <w:vAlign w:val="center"/>
            <w:hideMark/>
          </w:tcPr>
          <w:p w14:paraId="0860C938"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24</w:t>
            </w:r>
          </w:p>
        </w:tc>
      </w:tr>
      <w:tr w:rsidR="003C50B5" w:rsidRPr="003C50B5" w14:paraId="268B644C" w14:textId="77777777" w:rsidTr="00F60FFF">
        <w:trPr>
          <w:trHeight w:val="404"/>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1382ABE0"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Lubniewice</w:t>
            </w:r>
          </w:p>
        </w:tc>
        <w:tc>
          <w:tcPr>
            <w:tcW w:w="1036" w:type="dxa"/>
            <w:tcBorders>
              <w:top w:val="nil"/>
              <w:left w:val="nil"/>
              <w:bottom w:val="single" w:sz="4" w:space="0" w:color="auto"/>
              <w:right w:val="single" w:sz="4" w:space="0" w:color="auto"/>
            </w:tcBorders>
            <w:shd w:val="clear" w:color="auto" w:fill="auto"/>
            <w:noWrap/>
            <w:vAlign w:val="center"/>
            <w:hideMark/>
          </w:tcPr>
          <w:p w14:paraId="17087B3B"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3154</w:t>
            </w:r>
          </w:p>
        </w:tc>
        <w:tc>
          <w:tcPr>
            <w:tcW w:w="960" w:type="dxa"/>
            <w:tcBorders>
              <w:top w:val="nil"/>
              <w:left w:val="nil"/>
              <w:bottom w:val="single" w:sz="4" w:space="0" w:color="auto"/>
              <w:right w:val="single" w:sz="4" w:space="0" w:color="auto"/>
            </w:tcBorders>
            <w:shd w:val="clear" w:color="auto" w:fill="auto"/>
            <w:noWrap/>
            <w:vAlign w:val="center"/>
            <w:hideMark/>
          </w:tcPr>
          <w:p w14:paraId="3B6C4B85"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3060</w:t>
            </w:r>
          </w:p>
        </w:tc>
        <w:tc>
          <w:tcPr>
            <w:tcW w:w="1267" w:type="dxa"/>
            <w:tcBorders>
              <w:top w:val="nil"/>
              <w:left w:val="nil"/>
              <w:bottom w:val="single" w:sz="4" w:space="0" w:color="auto"/>
              <w:right w:val="single" w:sz="4" w:space="0" w:color="auto"/>
            </w:tcBorders>
            <w:shd w:val="clear" w:color="auto" w:fill="auto"/>
            <w:noWrap/>
            <w:vAlign w:val="center"/>
            <w:hideMark/>
          </w:tcPr>
          <w:p w14:paraId="4499F2ED"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w:t>
            </w:r>
          </w:p>
        </w:tc>
        <w:tc>
          <w:tcPr>
            <w:tcW w:w="1229" w:type="dxa"/>
            <w:tcBorders>
              <w:top w:val="nil"/>
              <w:left w:val="nil"/>
              <w:bottom w:val="single" w:sz="4" w:space="0" w:color="auto"/>
              <w:right w:val="single" w:sz="4" w:space="0" w:color="auto"/>
            </w:tcBorders>
            <w:shd w:val="clear" w:color="auto" w:fill="auto"/>
            <w:noWrap/>
            <w:vAlign w:val="center"/>
            <w:hideMark/>
          </w:tcPr>
          <w:p w14:paraId="61093E1F"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w:t>
            </w:r>
          </w:p>
        </w:tc>
        <w:tc>
          <w:tcPr>
            <w:tcW w:w="1382" w:type="dxa"/>
            <w:tcBorders>
              <w:top w:val="nil"/>
              <w:left w:val="nil"/>
              <w:bottom w:val="single" w:sz="4" w:space="0" w:color="auto"/>
              <w:right w:val="single" w:sz="4" w:space="0" w:color="auto"/>
            </w:tcBorders>
            <w:shd w:val="clear" w:color="auto" w:fill="auto"/>
            <w:noWrap/>
            <w:vAlign w:val="center"/>
            <w:hideMark/>
          </w:tcPr>
          <w:p w14:paraId="3AA104CD"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130</w:t>
            </w:r>
          </w:p>
        </w:tc>
        <w:tc>
          <w:tcPr>
            <w:tcW w:w="1382" w:type="dxa"/>
            <w:tcBorders>
              <w:top w:val="nil"/>
              <w:left w:val="nil"/>
              <w:bottom w:val="single" w:sz="4" w:space="0" w:color="auto"/>
              <w:right w:val="single" w:sz="4" w:space="0" w:color="auto"/>
            </w:tcBorders>
            <w:shd w:val="clear" w:color="auto" w:fill="auto"/>
            <w:noWrap/>
            <w:vAlign w:val="center"/>
            <w:hideMark/>
          </w:tcPr>
          <w:p w14:paraId="4E4208A2"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24</w:t>
            </w:r>
          </w:p>
        </w:tc>
        <w:tc>
          <w:tcPr>
            <w:tcW w:w="1382" w:type="dxa"/>
            <w:tcBorders>
              <w:top w:val="nil"/>
              <w:left w:val="nil"/>
              <w:bottom w:val="single" w:sz="4" w:space="0" w:color="auto"/>
              <w:right w:val="single" w:sz="4" w:space="0" w:color="auto"/>
            </w:tcBorders>
            <w:shd w:val="clear" w:color="auto" w:fill="auto"/>
            <w:noWrap/>
            <w:vAlign w:val="center"/>
            <w:hideMark/>
          </w:tcPr>
          <w:p w14:paraId="565218B9"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24</w:t>
            </w:r>
          </w:p>
        </w:tc>
      </w:tr>
      <w:tr w:rsidR="003C50B5" w:rsidRPr="003C50B5" w14:paraId="178D45C0" w14:textId="77777777" w:rsidTr="00F60FFF">
        <w:trPr>
          <w:trHeight w:val="404"/>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4C939173"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Torzym</w:t>
            </w:r>
          </w:p>
        </w:tc>
        <w:tc>
          <w:tcPr>
            <w:tcW w:w="1036" w:type="dxa"/>
            <w:tcBorders>
              <w:top w:val="nil"/>
              <w:left w:val="nil"/>
              <w:bottom w:val="single" w:sz="4" w:space="0" w:color="auto"/>
              <w:right w:val="single" w:sz="4" w:space="0" w:color="auto"/>
            </w:tcBorders>
            <w:shd w:val="clear" w:color="auto" w:fill="auto"/>
            <w:noWrap/>
            <w:vAlign w:val="center"/>
            <w:hideMark/>
          </w:tcPr>
          <w:p w14:paraId="543FBA73"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6973</w:t>
            </w:r>
          </w:p>
        </w:tc>
        <w:tc>
          <w:tcPr>
            <w:tcW w:w="960" w:type="dxa"/>
            <w:tcBorders>
              <w:top w:val="nil"/>
              <w:left w:val="nil"/>
              <w:bottom w:val="single" w:sz="4" w:space="0" w:color="auto"/>
              <w:right w:val="single" w:sz="4" w:space="0" w:color="auto"/>
            </w:tcBorders>
            <w:shd w:val="clear" w:color="auto" w:fill="auto"/>
            <w:noWrap/>
            <w:vAlign w:val="center"/>
            <w:hideMark/>
          </w:tcPr>
          <w:p w14:paraId="2BE0A72B"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6459</w:t>
            </w:r>
          </w:p>
        </w:tc>
        <w:tc>
          <w:tcPr>
            <w:tcW w:w="1267" w:type="dxa"/>
            <w:tcBorders>
              <w:top w:val="nil"/>
              <w:left w:val="nil"/>
              <w:bottom w:val="single" w:sz="4" w:space="0" w:color="auto"/>
              <w:right w:val="single" w:sz="4" w:space="0" w:color="auto"/>
            </w:tcBorders>
            <w:shd w:val="clear" w:color="auto" w:fill="auto"/>
            <w:noWrap/>
            <w:vAlign w:val="center"/>
            <w:hideMark/>
          </w:tcPr>
          <w:p w14:paraId="6479EAD8"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-7,4</w:t>
            </w:r>
          </w:p>
        </w:tc>
        <w:tc>
          <w:tcPr>
            <w:tcW w:w="1229" w:type="dxa"/>
            <w:tcBorders>
              <w:top w:val="nil"/>
              <w:left w:val="nil"/>
              <w:bottom w:val="single" w:sz="4" w:space="0" w:color="auto"/>
              <w:right w:val="single" w:sz="4" w:space="0" w:color="auto"/>
            </w:tcBorders>
            <w:shd w:val="clear" w:color="auto" w:fill="auto"/>
            <w:noWrap/>
            <w:vAlign w:val="center"/>
            <w:hideMark/>
          </w:tcPr>
          <w:p w14:paraId="34335296"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-50</w:t>
            </w:r>
          </w:p>
        </w:tc>
        <w:tc>
          <w:tcPr>
            <w:tcW w:w="1382" w:type="dxa"/>
            <w:tcBorders>
              <w:top w:val="nil"/>
              <w:left w:val="nil"/>
              <w:bottom w:val="single" w:sz="4" w:space="0" w:color="auto"/>
              <w:right w:val="single" w:sz="4" w:space="0" w:color="auto"/>
            </w:tcBorders>
            <w:shd w:val="clear" w:color="auto" w:fill="auto"/>
            <w:noWrap/>
            <w:vAlign w:val="center"/>
            <w:hideMark/>
          </w:tcPr>
          <w:p w14:paraId="2FF41079"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320</w:t>
            </w:r>
          </w:p>
        </w:tc>
        <w:tc>
          <w:tcPr>
            <w:tcW w:w="1382" w:type="dxa"/>
            <w:tcBorders>
              <w:top w:val="nil"/>
              <w:left w:val="nil"/>
              <w:bottom w:val="single" w:sz="4" w:space="0" w:color="auto"/>
              <w:right w:val="single" w:sz="4" w:space="0" w:color="auto"/>
            </w:tcBorders>
            <w:shd w:val="clear" w:color="auto" w:fill="auto"/>
            <w:noWrap/>
            <w:vAlign w:val="center"/>
            <w:hideMark/>
          </w:tcPr>
          <w:p w14:paraId="4128AC7A"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22</w:t>
            </w:r>
          </w:p>
        </w:tc>
        <w:tc>
          <w:tcPr>
            <w:tcW w:w="1382" w:type="dxa"/>
            <w:tcBorders>
              <w:top w:val="nil"/>
              <w:left w:val="nil"/>
              <w:bottom w:val="single" w:sz="4" w:space="0" w:color="auto"/>
              <w:right w:val="single" w:sz="4" w:space="0" w:color="auto"/>
            </w:tcBorders>
            <w:shd w:val="clear" w:color="auto" w:fill="auto"/>
            <w:noWrap/>
            <w:vAlign w:val="center"/>
            <w:hideMark/>
          </w:tcPr>
          <w:p w14:paraId="506D98D7"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20</w:t>
            </w:r>
          </w:p>
        </w:tc>
      </w:tr>
      <w:tr w:rsidR="003C50B5" w:rsidRPr="003C50B5" w14:paraId="3ED46538" w14:textId="77777777" w:rsidTr="00F60FFF">
        <w:trPr>
          <w:trHeight w:val="404"/>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21B9A1D5"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Sulęcin</w:t>
            </w:r>
          </w:p>
        </w:tc>
        <w:tc>
          <w:tcPr>
            <w:tcW w:w="1036" w:type="dxa"/>
            <w:tcBorders>
              <w:top w:val="nil"/>
              <w:left w:val="nil"/>
              <w:bottom w:val="single" w:sz="4" w:space="0" w:color="auto"/>
              <w:right w:val="single" w:sz="4" w:space="0" w:color="auto"/>
            </w:tcBorders>
            <w:shd w:val="clear" w:color="auto" w:fill="auto"/>
            <w:noWrap/>
            <w:vAlign w:val="center"/>
            <w:hideMark/>
          </w:tcPr>
          <w:p w14:paraId="69821C01"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16131</w:t>
            </w:r>
          </w:p>
        </w:tc>
        <w:tc>
          <w:tcPr>
            <w:tcW w:w="960" w:type="dxa"/>
            <w:tcBorders>
              <w:top w:val="nil"/>
              <w:left w:val="nil"/>
              <w:bottom w:val="single" w:sz="4" w:space="0" w:color="auto"/>
              <w:right w:val="single" w:sz="4" w:space="0" w:color="auto"/>
            </w:tcBorders>
            <w:shd w:val="clear" w:color="auto" w:fill="auto"/>
            <w:noWrap/>
            <w:vAlign w:val="center"/>
            <w:hideMark/>
          </w:tcPr>
          <w:p w14:paraId="3F7931F9"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15518</w:t>
            </w:r>
          </w:p>
        </w:tc>
        <w:tc>
          <w:tcPr>
            <w:tcW w:w="1267" w:type="dxa"/>
            <w:tcBorders>
              <w:top w:val="nil"/>
              <w:left w:val="nil"/>
              <w:bottom w:val="single" w:sz="4" w:space="0" w:color="auto"/>
              <w:right w:val="single" w:sz="4" w:space="0" w:color="auto"/>
            </w:tcBorders>
            <w:shd w:val="clear" w:color="auto" w:fill="auto"/>
            <w:noWrap/>
            <w:vAlign w:val="center"/>
            <w:hideMark/>
          </w:tcPr>
          <w:p w14:paraId="277EEE9B"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-3,8</w:t>
            </w:r>
          </w:p>
        </w:tc>
        <w:tc>
          <w:tcPr>
            <w:tcW w:w="1229" w:type="dxa"/>
            <w:tcBorders>
              <w:top w:val="nil"/>
              <w:left w:val="nil"/>
              <w:bottom w:val="single" w:sz="4" w:space="0" w:color="auto"/>
              <w:right w:val="single" w:sz="4" w:space="0" w:color="auto"/>
            </w:tcBorders>
            <w:shd w:val="clear" w:color="auto" w:fill="auto"/>
            <w:noWrap/>
            <w:vAlign w:val="center"/>
            <w:hideMark/>
          </w:tcPr>
          <w:p w14:paraId="4B947F48"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-64</w:t>
            </w:r>
          </w:p>
        </w:tc>
        <w:tc>
          <w:tcPr>
            <w:tcW w:w="1382" w:type="dxa"/>
            <w:tcBorders>
              <w:top w:val="nil"/>
              <w:left w:val="nil"/>
              <w:bottom w:val="single" w:sz="4" w:space="0" w:color="auto"/>
              <w:right w:val="single" w:sz="4" w:space="0" w:color="auto"/>
            </w:tcBorders>
            <w:shd w:val="clear" w:color="auto" w:fill="auto"/>
            <w:noWrap/>
            <w:vAlign w:val="center"/>
            <w:hideMark/>
          </w:tcPr>
          <w:p w14:paraId="1AE3D83B"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375</w:t>
            </w:r>
          </w:p>
        </w:tc>
        <w:tc>
          <w:tcPr>
            <w:tcW w:w="1382" w:type="dxa"/>
            <w:tcBorders>
              <w:top w:val="nil"/>
              <w:left w:val="nil"/>
              <w:bottom w:val="single" w:sz="4" w:space="0" w:color="auto"/>
              <w:right w:val="single" w:sz="4" w:space="0" w:color="auto"/>
            </w:tcBorders>
            <w:shd w:val="clear" w:color="auto" w:fill="auto"/>
            <w:noWrap/>
            <w:vAlign w:val="center"/>
            <w:hideMark/>
          </w:tcPr>
          <w:p w14:paraId="31EB1891"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43</w:t>
            </w:r>
          </w:p>
        </w:tc>
        <w:tc>
          <w:tcPr>
            <w:tcW w:w="1382" w:type="dxa"/>
            <w:tcBorders>
              <w:top w:val="nil"/>
              <w:left w:val="nil"/>
              <w:bottom w:val="single" w:sz="4" w:space="0" w:color="auto"/>
              <w:right w:val="single" w:sz="4" w:space="0" w:color="auto"/>
            </w:tcBorders>
            <w:shd w:val="clear" w:color="auto" w:fill="auto"/>
            <w:noWrap/>
            <w:vAlign w:val="center"/>
            <w:hideMark/>
          </w:tcPr>
          <w:p w14:paraId="231A30F1"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41</w:t>
            </w:r>
          </w:p>
        </w:tc>
      </w:tr>
      <w:tr w:rsidR="003C50B5" w:rsidRPr="003C50B5" w14:paraId="299E06B8" w14:textId="77777777" w:rsidTr="00F60FFF">
        <w:trPr>
          <w:trHeight w:val="404"/>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53BDCBF"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Bogdaniec</w:t>
            </w:r>
          </w:p>
        </w:tc>
        <w:tc>
          <w:tcPr>
            <w:tcW w:w="1036" w:type="dxa"/>
            <w:tcBorders>
              <w:top w:val="nil"/>
              <w:left w:val="nil"/>
              <w:bottom w:val="single" w:sz="4" w:space="0" w:color="auto"/>
              <w:right w:val="single" w:sz="4" w:space="0" w:color="auto"/>
            </w:tcBorders>
            <w:shd w:val="clear" w:color="auto" w:fill="auto"/>
            <w:noWrap/>
            <w:vAlign w:val="center"/>
            <w:hideMark/>
          </w:tcPr>
          <w:p w14:paraId="14908F90"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7120</w:t>
            </w:r>
          </w:p>
        </w:tc>
        <w:tc>
          <w:tcPr>
            <w:tcW w:w="960" w:type="dxa"/>
            <w:tcBorders>
              <w:top w:val="nil"/>
              <w:left w:val="nil"/>
              <w:bottom w:val="single" w:sz="4" w:space="0" w:color="auto"/>
              <w:right w:val="single" w:sz="4" w:space="0" w:color="auto"/>
            </w:tcBorders>
            <w:shd w:val="clear" w:color="auto" w:fill="auto"/>
            <w:noWrap/>
            <w:vAlign w:val="center"/>
            <w:hideMark/>
          </w:tcPr>
          <w:p w14:paraId="08E04AAD"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7087</w:t>
            </w:r>
          </w:p>
        </w:tc>
        <w:tc>
          <w:tcPr>
            <w:tcW w:w="1267" w:type="dxa"/>
            <w:tcBorders>
              <w:top w:val="nil"/>
              <w:left w:val="nil"/>
              <w:bottom w:val="single" w:sz="4" w:space="0" w:color="auto"/>
              <w:right w:val="single" w:sz="4" w:space="0" w:color="auto"/>
            </w:tcBorders>
            <w:shd w:val="clear" w:color="auto" w:fill="auto"/>
            <w:noWrap/>
            <w:vAlign w:val="center"/>
            <w:hideMark/>
          </w:tcPr>
          <w:p w14:paraId="1F9D8DA4"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-0,5</w:t>
            </w:r>
          </w:p>
        </w:tc>
        <w:tc>
          <w:tcPr>
            <w:tcW w:w="1229" w:type="dxa"/>
            <w:tcBorders>
              <w:top w:val="nil"/>
              <w:left w:val="nil"/>
              <w:bottom w:val="single" w:sz="4" w:space="0" w:color="auto"/>
              <w:right w:val="single" w:sz="4" w:space="0" w:color="auto"/>
            </w:tcBorders>
            <w:shd w:val="clear" w:color="auto" w:fill="auto"/>
            <w:noWrap/>
            <w:vAlign w:val="center"/>
            <w:hideMark/>
          </w:tcPr>
          <w:p w14:paraId="7A4F884B"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17</w:t>
            </w:r>
          </w:p>
        </w:tc>
        <w:tc>
          <w:tcPr>
            <w:tcW w:w="1382" w:type="dxa"/>
            <w:tcBorders>
              <w:top w:val="nil"/>
              <w:left w:val="nil"/>
              <w:bottom w:val="single" w:sz="4" w:space="0" w:color="auto"/>
              <w:right w:val="single" w:sz="4" w:space="0" w:color="auto"/>
            </w:tcBorders>
            <w:shd w:val="clear" w:color="auto" w:fill="auto"/>
            <w:noWrap/>
            <w:vAlign w:val="center"/>
            <w:hideMark/>
          </w:tcPr>
          <w:p w14:paraId="582C9C88"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112</w:t>
            </w:r>
          </w:p>
        </w:tc>
        <w:tc>
          <w:tcPr>
            <w:tcW w:w="1382" w:type="dxa"/>
            <w:tcBorders>
              <w:top w:val="nil"/>
              <w:left w:val="nil"/>
              <w:bottom w:val="single" w:sz="4" w:space="0" w:color="auto"/>
              <w:right w:val="single" w:sz="4" w:space="0" w:color="auto"/>
            </w:tcBorders>
            <w:shd w:val="clear" w:color="auto" w:fill="auto"/>
            <w:noWrap/>
            <w:vAlign w:val="center"/>
            <w:hideMark/>
          </w:tcPr>
          <w:p w14:paraId="427DEDD7"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64</w:t>
            </w:r>
          </w:p>
        </w:tc>
        <w:tc>
          <w:tcPr>
            <w:tcW w:w="1382" w:type="dxa"/>
            <w:tcBorders>
              <w:top w:val="nil"/>
              <w:left w:val="nil"/>
              <w:bottom w:val="single" w:sz="4" w:space="0" w:color="auto"/>
              <w:right w:val="single" w:sz="4" w:space="0" w:color="auto"/>
            </w:tcBorders>
            <w:shd w:val="clear" w:color="auto" w:fill="auto"/>
            <w:noWrap/>
            <w:vAlign w:val="center"/>
            <w:hideMark/>
          </w:tcPr>
          <w:p w14:paraId="741A222D"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63</w:t>
            </w:r>
          </w:p>
        </w:tc>
      </w:tr>
      <w:tr w:rsidR="003C50B5" w:rsidRPr="003C50B5" w14:paraId="7DB7D62C" w14:textId="77777777" w:rsidTr="00F60FFF">
        <w:trPr>
          <w:trHeight w:val="404"/>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2E7489C0"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Deszczno</w:t>
            </w:r>
          </w:p>
        </w:tc>
        <w:tc>
          <w:tcPr>
            <w:tcW w:w="1036" w:type="dxa"/>
            <w:tcBorders>
              <w:top w:val="nil"/>
              <w:left w:val="nil"/>
              <w:bottom w:val="single" w:sz="4" w:space="0" w:color="auto"/>
              <w:right w:val="single" w:sz="4" w:space="0" w:color="auto"/>
            </w:tcBorders>
            <w:shd w:val="clear" w:color="auto" w:fill="auto"/>
            <w:noWrap/>
            <w:vAlign w:val="center"/>
            <w:hideMark/>
          </w:tcPr>
          <w:p w14:paraId="47D55A79"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8951</w:t>
            </w:r>
          </w:p>
        </w:tc>
        <w:tc>
          <w:tcPr>
            <w:tcW w:w="960" w:type="dxa"/>
            <w:tcBorders>
              <w:top w:val="nil"/>
              <w:left w:val="nil"/>
              <w:bottom w:val="single" w:sz="4" w:space="0" w:color="auto"/>
              <w:right w:val="single" w:sz="4" w:space="0" w:color="auto"/>
            </w:tcBorders>
            <w:shd w:val="clear" w:color="auto" w:fill="auto"/>
            <w:noWrap/>
            <w:vAlign w:val="center"/>
            <w:hideMark/>
          </w:tcPr>
          <w:p w14:paraId="5EFCB7FC"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10215</w:t>
            </w:r>
          </w:p>
        </w:tc>
        <w:tc>
          <w:tcPr>
            <w:tcW w:w="1267" w:type="dxa"/>
            <w:tcBorders>
              <w:top w:val="nil"/>
              <w:left w:val="nil"/>
              <w:bottom w:val="single" w:sz="4" w:space="0" w:color="auto"/>
              <w:right w:val="single" w:sz="4" w:space="0" w:color="auto"/>
            </w:tcBorders>
            <w:shd w:val="clear" w:color="auto" w:fill="auto"/>
            <w:noWrap/>
            <w:vAlign w:val="center"/>
            <w:hideMark/>
          </w:tcPr>
          <w:p w14:paraId="202B2B32"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14</w:t>
            </w:r>
          </w:p>
        </w:tc>
        <w:tc>
          <w:tcPr>
            <w:tcW w:w="1229" w:type="dxa"/>
            <w:tcBorders>
              <w:top w:val="nil"/>
              <w:left w:val="nil"/>
              <w:bottom w:val="single" w:sz="4" w:space="0" w:color="auto"/>
              <w:right w:val="single" w:sz="4" w:space="0" w:color="auto"/>
            </w:tcBorders>
            <w:shd w:val="clear" w:color="auto" w:fill="auto"/>
            <w:noWrap/>
            <w:vAlign w:val="center"/>
            <w:hideMark/>
          </w:tcPr>
          <w:p w14:paraId="3324DF2D"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172</w:t>
            </w:r>
          </w:p>
        </w:tc>
        <w:tc>
          <w:tcPr>
            <w:tcW w:w="1382" w:type="dxa"/>
            <w:tcBorders>
              <w:top w:val="nil"/>
              <w:left w:val="nil"/>
              <w:bottom w:val="single" w:sz="4" w:space="0" w:color="auto"/>
              <w:right w:val="single" w:sz="4" w:space="0" w:color="auto"/>
            </w:tcBorders>
            <w:shd w:val="clear" w:color="auto" w:fill="auto"/>
            <w:noWrap/>
            <w:vAlign w:val="center"/>
            <w:hideMark/>
          </w:tcPr>
          <w:p w14:paraId="28929C2A"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168</w:t>
            </w:r>
          </w:p>
        </w:tc>
        <w:tc>
          <w:tcPr>
            <w:tcW w:w="1382" w:type="dxa"/>
            <w:tcBorders>
              <w:top w:val="nil"/>
              <w:left w:val="nil"/>
              <w:bottom w:val="single" w:sz="4" w:space="0" w:color="auto"/>
              <w:right w:val="single" w:sz="4" w:space="0" w:color="auto"/>
            </w:tcBorders>
            <w:shd w:val="clear" w:color="auto" w:fill="auto"/>
            <w:noWrap/>
            <w:vAlign w:val="center"/>
            <w:hideMark/>
          </w:tcPr>
          <w:p w14:paraId="1B7DB06E"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53</w:t>
            </w:r>
          </w:p>
        </w:tc>
        <w:tc>
          <w:tcPr>
            <w:tcW w:w="1382" w:type="dxa"/>
            <w:tcBorders>
              <w:top w:val="nil"/>
              <w:left w:val="nil"/>
              <w:bottom w:val="single" w:sz="4" w:space="0" w:color="auto"/>
              <w:right w:val="single" w:sz="4" w:space="0" w:color="auto"/>
            </w:tcBorders>
            <w:shd w:val="clear" w:color="auto" w:fill="auto"/>
            <w:noWrap/>
            <w:vAlign w:val="center"/>
            <w:hideMark/>
          </w:tcPr>
          <w:p w14:paraId="3FE63624"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61</w:t>
            </w:r>
          </w:p>
        </w:tc>
      </w:tr>
      <w:tr w:rsidR="003C50B5" w:rsidRPr="003C50B5" w14:paraId="32F05E73" w14:textId="77777777" w:rsidTr="00F60FFF">
        <w:trPr>
          <w:trHeight w:val="404"/>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10A040AF"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Kłodawa</w:t>
            </w:r>
          </w:p>
        </w:tc>
        <w:tc>
          <w:tcPr>
            <w:tcW w:w="1036" w:type="dxa"/>
            <w:tcBorders>
              <w:top w:val="nil"/>
              <w:left w:val="nil"/>
              <w:bottom w:val="single" w:sz="4" w:space="0" w:color="auto"/>
              <w:right w:val="single" w:sz="4" w:space="0" w:color="auto"/>
            </w:tcBorders>
            <w:shd w:val="clear" w:color="auto" w:fill="auto"/>
            <w:noWrap/>
            <w:vAlign w:val="center"/>
            <w:hideMark/>
          </w:tcPr>
          <w:p w14:paraId="6EDE4639"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8046</w:t>
            </w:r>
          </w:p>
        </w:tc>
        <w:tc>
          <w:tcPr>
            <w:tcW w:w="960" w:type="dxa"/>
            <w:tcBorders>
              <w:top w:val="nil"/>
              <w:left w:val="nil"/>
              <w:bottom w:val="single" w:sz="4" w:space="0" w:color="auto"/>
              <w:right w:val="single" w:sz="4" w:space="0" w:color="auto"/>
            </w:tcBorders>
            <w:shd w:val="clear" w:color="auto" w:fill="auto"/>
            <w:noWrap/>
            <w:vAlign w:val="center"/>
            <w:hideMark/>
          </w:tcPr>
          <w:p w14:paraId="6038F1F0"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8871</w:t>
            </w:r>
          </w:p>
        </w:tc>
        <w:tc>
          <w:tcPr>
            <w:tcW w:w="1267" w:type="dxa"/>
            <w:tcBorders>
              <w:top w:val="nil"/>
              <w:left w:val="nil"/>
              <w:bottom w:val="single" w:sz="4" w:space="0" w:color="auto"/>
              <w:right w:val="single" w:sz="4" w:space="0" w:color="auto"/>
            </w:tcBorders>
            <w:shd w:val="clear" w:color="auto" w:fill="auto"/>
            <w:noWrap/>
            <w:vAlign w:val="center"/>
            <w:hideMark/>
          </w:tcPr>
          <w:p w14:paraId="03A6807F"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10,2</w:t>
            </w:r>
          </w:p>
        </w:tc>
        <w:tc>
          <w:tcPr>
            <w:tcW w:w="1229" w:type="dxa"/>
            <w:tcBorders>
              <w:top w:val="nil"/>
              <w:left w:val="nil"/>
              <w:bottom w:val="single" w:sz="4" w:space="0" w:color="auto"/>
              <w:right w:val="single" w:sz="4" w:space="0" w:color="auto"/>
            </w:tcBorders>
            <w:shd w:val="clear" w:color="auto" w:fill="auto"/>
            <w:noWrap/>
            <w:vAlign w:val="center"/>
            <w:hideMark/>
          </w:tcPr>
          <w:p w14:paraId="259C48BA"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100</w:t>
            </w:r>
          </w:p>
        </w:tc>
        <w:tc>
          <w:tcPr>
            <w:tcW w:w="1382" w:type="dxa"/>
            <w:tcBorders>
              <w:top w:val="nil"/>
              <w:left w:val="nil"/>
              <w:bottom w:val="single" w:sz="4" w:space="0" w:color="auto"/>
              <w:right w:val="single" w:sz="4" w:space="0" w:color="auto"/>
            </w:tcBorders>
            <w:shd w:val="clear" w:color="auto" w:fill="auto"/>
            <w:noWrap/>
            <w:vAlign w:val="center"/>
            <w:hideMark/>
          </w:tcPr>
          <w:p w14:paraId="779ED112"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235</w:t>
            </w:r>
          </w:p>
        </w:tc>
        <w:tc>
          <w:tcPr>
            <w:tcW w:w="1382" w:type="dxa"/>
            <w:tcBorders>
              <w:top w:val="nil"/>
              <w:left w:val="nil"/>
              <w:bottom w:val="single" w:sz="4" w:space="0" w:color="auto"/>
              <w:right w:val="single" w:sz="4" w:space="0" w:color="auto"/>
            </w:tcBorders>
            <w:shd w:val="clear" w:color="auto" w:fill="auto"/>
            <w:noWrap/>
            <w:vAlign w:val="center"/>
            <w:hideMark/>
          </w:tcPr>
          <w:p w14:paraId="22C7A703"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34</w:t>
            </w:r>
          </w:p>
        </w:tc>
        <w:tc>
          <w:tcPr>
            <w:tcW w:w="1382" w:type="dxa"/>
            <w:tcBorders>
              <w:top w:val="nil"/>
              <w:left w:val="nil"/>
              <w:bottom w:val="single" w:sz="4" w:space="0" w:color="auto"/>
              <w:right w:val="single" w:sz="4" w:space="0" w:color="auto"/>
            </w:tcBorders>
            <w:shd w:val="clear" w:color="auto" w:fill="auto"/>
            <w:noWrap/>
            <w:vAlign w:val="center"/>
            <w:hideMark/>
          </w:tcPr>
          <w:p w14:paraId="605EE126"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38</w:t>
            </w:r>
          </w:p>
        </w:tc>
      </w:tr>
      <w:tr w:rsidR="003C50B5" w:rsidRPr="003C50B5" w14:paraId="4BE5BA95" w14:textId="77777777" w:rsidTr="00F60FFF">
        <w:trPr>
          <w:trHeight w:val="404"/>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4A642DFB"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Lubiszyn</w:t>
            </w:r>
          </w:p>
        </w:tc>
        <w:tc>
          <w:tcPr>
            <w:tcW w:w="1036" w:type="dxa"/>
            <w:tcBorders>
              <w:top w:val="nil"/>
              <w:left w:val="nil"/>
              <w:bottom w:val="single" w:sz="4" w:space="0" w:color="auto"/>
              <w:right w:val="single" w:sz="4" w:space="0" w:color="auto"/>
            </w:tcBorders>
            <w:shd w:val="clear" w:color="auto" w:fill="auto"/>
            <w:noWrap/>
            <w:vAlign w:val="center"/>
            <w:hideMark/>
          </w:tcPr>
          <w:p w14:paraId="0044C59D"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6934</w:t>
            </w:r>
          </w:p>
        </w:tc>
        <w:tc>
          <w:tcPr>
            <w:tcW w:w="960" w:type="dxa"/>
            <w:tcBorders>
              <w:top w:val="nil"/>
              <w:left w:val="nil"/>
              <w:bottom w:val="single" w:sz="4" w:space="0" w:color="auto"/>
              <w:right w:val="single" w:sz="4" w:space="0" w:color="auto"/>
            </w:tcBorders>
            <w:shd w:val="clear" w:color="auto" w:fill="auto"/>
            <w:noWrap/>
            <w:vAlign w:val="center"/>
            <w:hideMark/>
          </w:tcPr>
          <w:p w14:paraId="695DB9D3"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6970</w:t>
            </w:r>
          </w:p>
        </w:tc>
        <w:tc>
          <w:tcPr>
            <w:tcW w:w="1267" w:type="dxa"/>
            <w:tcBorders>
              <w:top w:val="nil"/>
              <w:left w:val="nil"/>
              <w:bottom w:val="single" w:sz="4" w:space="0" w:color="auto"/>
              <w:right w:val="single" w:sz="4" w:space="0" w:color="auto"/>
            </w:tcBorders>
            <w:shd w:val="clear" w:color="auto" w:fill="auto"/>
            <w:noWrap/>
            <w:vAlign w:val="center"/>
            <w:hideMark/>
          </w:tcPr>
          <w:p w14:paraId="4BAED0C9"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0,5</w:t>
            </w:r>
          </w:p>
        </w:tc>
        <w:tc>
          <w:tcPr>
            <w:tcW w:w="1229" w:type="dxa"/>
            <w:tcBorders>
              <w:top w:val="nil"/>
              <w:left w:val="nil"/>
              <w:bottom w:val="single" w:sz="4" w:space="0" w:color="auto"/>
              <w:right w:val="single" w:sz="4" w:space="0" w:color="auto"/>
            </w:tcBorders>
            <w:shd w:val="clear" w:color="auto" w:fill="auto"/>
            <w:noWrap/>
            <w:vAlign w:val="center"/>
            <w:hideMark/>
          </w:tcPr>
          <w:p w14:paraId="0C8C7DEC"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23</w:t>
            </w:r>
          </w:p>
        </w:tc>
        <w:tc>
          <w:tcPr>
            <w:tcW w:w="1382" w:type="dxa"/>
            <w:tcBorders>
              <w:top w:val="nil"/>
              <w:left w:val="nil"/>
              <w:bottom w:val="single" w:sz="4" w:space="0" w:color="auto"/>
              <w:right w:val="single" w:sz="4" w:space="0" w:color="auto"/>
            </w:tcBorders>
            <w:shd w:val="clear" w:color="auto" w:fill="auto"/>
            <w:noWrap/>
            <w:vAlign w:val="center"/>
            <w:hideMark/>
          </w:tcPr>
          <w:p w14:paraId="04C7847B"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205</w:t>
            </w:r>
          </w:p>
        </w:tc>
        <w:tc>
          <w:tcPr>
            <w:tcW w:w="1382" w:type="dxa"/>
            <w:tcBorders>
              <w:top w:val="nil"/>
              <w:left w:val="nil"/>
              <w:bottom w:val="single" w:sz="4" w:space="0" w:color="auto"/>
              <w:right w:val="single" w:sz="4" w:space="0" w:color="auto"/>
            </w:tcBorders>
            <w:shd w:val="clear" w:color="auto" w:fill="auto"/>
            <w:noWrap/>
            <w:vAlign w:val="center"/>
            <w:hideMark/>
          </w:tcPr>
          <w:p w14:paraId="75320992"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34</w:t>
            </w:r>
          </w:p>
        </w:tc>
        <w:tc>
          <w:tcPr>
            <w:tcW w:w="1382" w:type="dxa"/>
            <w:tcBorders>
              <w:top w:val="nil"/>
              <w:left w:val="nil"/>
              <w:bottom w:val="single" w:sz="4" w:space="0" w:color="auto"/>
              <w:right w:val="single" w:sz="4" w:space="0" w:color="auto"/>
            </w:tcBorders>
            <w:shd w:val="clear" w:color="auto" w:fill="auto"/>
            <w:noWrap/>
            <w:vAlign w:val="center"/>
            <w:hideMark/>
          </w:tcPr>
          <w:p w14:paraId="1BA60A4C"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34</w:t>
            </w:r>
          </w:p>
        </w:tc>
      </w:tr>
      <w:tr w:rsidR="003C50B5" w:rsidRPr="003C50B5" w14:paraId="1ACCBDEE" w14:textId="77777777" w:rsidTr="00F60FFF">
        <w:trPr>
          <w:trHeight w:val="404"/>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4733D014"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Santok</w:t>
            </w:r>
          </w:p>
        </w:tc>
        <w:tc>
          <w:tcPr>
            <w:tcW w:w="1036" w:type="dxa"/>
            <w:tcBorders>
              <w:top w:val="nil"/>
              <w:left w:val="nil"/>
              <w:bottom w:val="single" w:sz="4" w:space="0" w:color="auto"/>
              <w:right w:val="single" w:sz="4" w:space="0" w:color="auto"/>
            </w:tcBorders>
            <w:shd w:val="clear" w:color="auto" w:fill="auto"/>
            <w:noWrap/>
            <w:vAlign w:val="center"/>
            <w:hideMark/>
          </w:tcPr>
          <w:p w14:paraId="29C262F6"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8072</w:t>
            </w:r>
          </w:p>
        </w:tc>
        <w:tc>
          <w:tcPr>
            <w:tcW w:w="960" w:type="dxa"/>
            <w:tcBorders>
              <w:top w:val="nil"/>
              <w:left w:val="nil"/>
              <w:bottom w:val="single" w:sz="4" w:space="0" w:color="auto"/>
              <w:right w:val="single" w:sz="4" w:space="0" w:color="auto"/>
            </w:tcBorders>
            <w:shd w:val="clear" w:color="auto" w:fill="auto"/>
            <w:noWrap/>
            <w:vAlign w:val="center"/>
            <w:hideMark/>
          </w:tcPr>
          <w:p w14:paraId="215B4D16"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9086</w:t>
            </w:r>
          </w:p>
        </w:tc>
        <w:tc>
          <w:tcPr>
            <w:tcW w:w="1267" w:type="dxa"/>
            <w:tcBorders>
              <w:top w:val="nil"/>
              <w:left w:val="nil"/>
              <w:bottom w:val="single" w:sz="4" w:space="0" w:color="auto"/>
              <w:right w:val="single" w:sz="4" w:space="0" w:color="auto"/>
            </w:tcBorders>
            <w:shd w:val="clear" w:color="auto" w:fill="auto"/>
            <w:noWrap/>
            <w:vAlign w:val="center"/>
            <w:hideMark/>
          </w:tcPr>
          <w:p w14:paraId="46A9170A"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12,6</w:t>
            </w:r>
          </w:p>
        </w:tc>
        <w:tc>
          <w:tcPr>
            <w:tcW w:w="1229" w:type="dxa"/>
            <w:tcBorders>
              <w:top w:val="nil"/>
              <w:left w:val="nil"/>
              <w:bottom w:val="single" w:sz="4" w:space="0" w:color="auto"/>
              <w:right w:val="single" w:sz="4" w:space="0" w:color="auto"/>
            </w:tcBorders>
            <w:shd w:val="clear" w:color="auto" w:fill="auto"/>
            <w:noWrap/>
            <w:vAlign w:val="center"/>
            <w:hideMark/>
          </w:tcPr>
          <w:p w14:paraId="5FE5B080"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209</w:t>
            </w:r>
          </w:p>
        </w:tc>
        <w:tc>
          <w:tcPr>
            <w:tcW w:w="1382" w:type="dxa"/>
            <w:tcBorders>
              <w:top w:val="nil"/>
              <w:left w:val="nil"/>
              <w:bottom w:val="single" w:sz="4" w:space="0" w:color="auto"/>
              <w:right w:val="single" w:sz="4" w:space="0" w:color="auto"/>
            </w:tcBorders>
            <w:shd w:val="clear" w:color="auto" w:fill="auto"/>
            <w:noWrap/>
            <w:vAlign w:val="center"/>
            <w:hideMark/>
          </w:tcPr>
          <w:p w14:paraId="09B0FE7D"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169</w:t>
            </w:r>
          </w:p>
        </w:tc>
        <w:tc>
          <w:tcPr>
            <w:tcW w:w="1382" w:type="dxa"/>
            <w:tcBorders>
              <w:top w:val="nil"/>
              <w:left w:val="nil"/>
              <w:bottom w:val="single" w:sz="4" w:space="0" w:color="auto"/>
              <w:right w:val="single" w:sz="4" w:space="0" w:color="auto"/>
            </w:tcBorders>
            <w:shd w:val="clear" w:color="auto" w:fill="auto"/>
            <w:noWrap/>
            <w:vAlign w:val="center"/>
            <w:hideMark/>
          </w:tcPr>
          <w:p w14:paraId="661FA8AC"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48</w:t>
            </w:r>
          </w:p>
        </w:tc>
        <w:tc>
          <w:tcPr>
            <w:tcW w:w="1382" w:type="dxa"/>
            <w:tcBorders>
              <w:top w:val="nil"/>
              <w:left w:val="nil"/>
              <w:bottom w:val="single" w:sz="4" w:space="0" w:color="auto"/>
              <w:right w:val="single" w:sz="4" w:space="0" w:color="auto"/>
            </w:tcBorders>
            <w:shd w:val="clear" w:color="auto" w:fill="auto"/>
            <w:noWrap/>
            <w:vAlign w:val="center"/>
            <w:hideMark/>
          </w:tcPr>
          <w:p w14:paraId="6796AF37"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54</w:t>
            </w:r>
          </w:p>
        </w:tc>
      </w:tr>
      <w:tr w:rsidR="003C50B5" w:rsidRPr="003C50B5" w14:paraId="37F11A72" w14:textId="77777777" w:rsidTr="00F60FFF">
        <w:trPr>
          <w:trHeight w:val="404"/>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B9F0AFC"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Ośno Lubuskie</w:t>
            </w:r>
          </w:p>
        </w:tc>
        <w:tc>
          <w:tcPr>
            <w:tcW w:w="1036" w:type="dxa"/>
            <w:tcBorders>
              <w:top w:val="nil"/>
              <w:left w:val="nil"/>
              <w:bottom w:val="single" w:sz="4" w:space="0" w:color="auto"/>
              <w:right w:val="single" w:sz="4" w:space="0" w:color="auto"/>
            </w:tcBorders>
            <w:shd w:val="clear" w:color="auto" w:fill="auto"/>
            <w:noWrap/>
            <w:vAlign w:val="center"/>
            <w:hideMark/>
          </w:tcPr>
          <w:p w14:paraId="5F752FE0"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6505</w:t>
            </w:r>
          </w:p>
        </w:tc>
        <w:tc>
          <w:tcPr>
            <w:tcW w:w="960" w:type="dxa"/>
            <w:tcBorders>
              <w:top w:val="nil"/>
              <w:left w:val="nil"/>
              <w:bottom w:val="single" w:sz="4" w:space="0" w:color="auto"/>
              <w:right w:val="single" w:sz="4" w:space="0" w:color="auto"/>
            </w:tcBorders>
            <w:shd w:val="clear" w:color="auto" w:fill="auto"/>
            <w:noWrap/>
            <w:vAlign w:val="center"/>
            <w:hideMark/>
          </w:tcPr>
          <w:p w14:paraId="2DBA8569"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6244</w:t>
            </w:r>
          </w:p>
        </w:tc>
        <w:tc>
          <w:tcPr>
            <w:tcW w:w="1267" w:type="dxa"/>
            <w:tcBorders>
              <w:top w:val="nil"/>
              <w:left w:val="nil"/>
              <w:bottom w:val="single" w:sz="4" w:space="0" w:color="auto"/>
              <w:right w:val="single" w:sz="4" w:space="0" w:color="auto"/>
            </w:tcBorders>
            <w:shd w:val="clear" w:color="auto" w:fill="auto"/>
            <w:noWrap/>
            <w:vAlign w:val="center"/>
            <w:hideMark/>
          </w:tcPr>
          <w:p w14:paraId="679CC93C"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-0,04</w:t>
            </w:r>
          </w:p>
        </w:tc>
        <w:tc>
          <w:tcPr>
            <w:tcW w:w="1229" w:type="dxa"/>
            <w:tcBorders>
              <w:top w:val="nil"/>
              <w:left w:val="nil"/>
              <w:bottom w:val="single" w:sz="4" w:space="0" w:color="auto"/>
              <w:right w:val="single" w:sz="4" w:space="0" w:color="auto"/>
            </w:tcBorders>
            <w:shd w:val="clear" w:color="auto" w:fill="auto"/>
            <w:noWrap/>
            <w:vAlign w:val="center"/>
            <w:hideMark/>
          </w:tcPr>
          <w:p w14:paraId="04E0F691"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-22</w:t>
            </w:r>
          </w:p>
        </w:tc>
        <w:tc>
          <w:tcPr>
            <w:tcW w:w="1382" w:type="dxa"/>
            <w:tcBorders>
              <w:top w:val="nil"/>
              <w:left w:val="nil"/>
              <w:bottom w:val="single" w:sz="4" w:space="0" w:color="auto"/>
              <w:right w:val="single" w:sz="4" w:space="0" w:color="auto"/>
            </w:tcBorders>
            <w:shd w:val="clear" w:color="auto" w:fill="auto"/>
            <w:noWrap/>
            <w:vAlign w:val="center"/>
            <w:hideMark/>
          </w:tcPr>
          <w:p w14:paraId="455FBE24"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198</w:t>
            </w:r>
          </w:p>
        </w:tc>
        <w:tc>
          <w:tcPr>
            <w:tcW w:w="1382" w:type="dxa"/>
            <w:tcBorders>
              <w:top w:val="nil"/>
              <w:left w:val="nil"/>
              <w:bottom w:val="single" w:sz="4" w:space="0" w:color="auto"/>
              <w:right w:val="single" w:sz="4" w:space="0" w:color="auto"/>
            </w:tcBorders>
            <w:shd w:val="clear" w:color="auto" w:fill="auto"/>
            <w:noWrap/>
            <w:vAlign w:val="center"/>
            <w:hideMark/>
          </w:tcPr>
          <w:p w14:paraId="050E3E07"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33</w:t>
            </w:r>
          </w:p>
        </w:tc>
        <w:tc>
          <w:tcPr>
            <w:tcW w:w="1382" w:type="dxa"/>
            <w:tcBorders>
              <w:top w:val="nil"/>
              <w:left w:val="nil"/>
              <w:bottom w:val="single" w:sz="4" w:space="0" w:color="auto"/>
              <w:right w:val="single" w:sz="4" w:space="0" w:color="auto"/>
            </w:tcBorders>
            <w:shd w:val="clear" w:color="auto" w:fill="auto"/>
            <w:noWrap/>
            <w:vAlign w:val="center"/>
            <w:hideMark/>
          </w:tcPr>
          <w:p w14:paraId="0E6E48F2" w14:textId="77777777" w:rsidR="003C50B5" w:rsidRPr="003C50B5" w:rsidRDefault="003C50B5" w:rsidP="003C50B5">
            <w:pPr>
              <w:spacing w:line="276" w:lineRule="auto"/>
              <w:ind w:firstLine="0"/>
              <w:rPr>
                <w:rFonts w:ascii="Arial Narrow" w:eastAsia="Times New Roman" w:hAnsi="Arial Narrow" w:cs="Calibri"/>
                <w:kern w:val="0"/>
                <w:lang w:eastAsia="pl-PL"/>
              </w:rPr>
            </w:pPr>
            <w:r w:rsidRPr="003C50B5">
              <w:rPr>
                <w:rFonts w:ascii="Arial Narrow" w:eastAsia="Times New Roman" w:hAnsi="Arial Narrow" w:cs="Calibri"/>
                <w:kern w:val="0"/>
                <w:lang w:eastAsia="pl-PL"/>
              </w:rPr>
              <w:t>32</w:t>
            </w:r>
          </w:p>
        </w:tc>
      </w:tr>
      <w:tr w:rsidR="003C50B5" w:rsidRPr="003C50B5" w14:paraId="131F5121" w14:textId="77777777" w:rsidTr="00F60FFF">
        <w:trPr>
          <w:trHeight w:val="301"/>
        </w:trPr>
        <w:tc>
          <w:tcPr>
            <w:tcW w:w="1478" w:type="dxa"/>
            <w:tcBorders>
              <w:top w:val="nil"/>
              <w:left w:val="single" w:sz="4" w:space="0" w:color="auto"/>
              <w:bottom w:val="single" w:sz="4" w:space="0" w:color="auto"/>
              <w:right w:val="single" w:sz="4" w:space="0" w:color="auto"/>
            </w:tcBorders>
            <w:shd w:val="clear" w:color="000000" w:fill="D9D9D9"/>
            <w:noWrap/>
            <w:vAlign w:val="bottom"/>
            <w:hideMark/>
          </w:tcPr>
          <w:p w14:paraId="37905989"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OGÓŁEM</w:t>
            </w:r>
          </w:p>
        </w:tc>
        <w:tc>
          <w:tcPr>
            <w:tcW w:w="1036" w:type="dxa"/>
            <w:tcBorders>
              <w:top w:val="nil"/>
              <w:left w:val="nil"/>
              <w:bottom w:val="single" w:sz="4" w:space="0" w:color="auto"/>
              <w:right w:val="single" w:sz="4" w:space="0" w:color="auto"/>
            </w:tcBorders>
            <w:shd w:val="clear" w:color="000000" w:fill="D9D9D9"/>
            <w:noWrap/>
            <w:vAlign w:val="center"/>
            <w:hideMark/>
          </w:tcPr>
          <w:p w14:paraId="37C7B99B"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76593</w:t>
            </w:r>
          </w:p>
        </w:tc>
        <w:tc>
          <w:tcPr>
            <w:tcW w:w="960" w:type="dxa"/>
            <w:tcBorders>
              <w:top w:val="nil"/>
              <w:left w:val="nil"/>
              <w:bottom w:val="single" w:sz="4" w:space="0" w:color="auto"/>
              <w:right w:val="single" w:sz="4" w:space="0" w:color="auto"/>
            </w:tcBorders>
            <w:shd w:val="clear" w:color="000000" w:fill="D9D9D9"/>
            <w:noWrap/>
            <w:vAlign w:val="center"/>
            <w:hideMark/>
          </w:tcPr>
          <w:p w14:paraId="04284B2D"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78104</w:t>
            </w:r>
          </w:p>
        </w:tc>
        <w:tc>
          <w:tcPr>
            <w:tcW w:w="1267" w:type="dxa"/>
            <w:tcBorders>
              <w:top w:val="nil"/>
              <w:left w:val="nil"/>
              <w:bottom w:val="single" w:sz="4" w:space="0" w:color="auto"/>
              <w:right w:val="single" w:sz="4" w:space="0" w:color="auto"/>
            </w:tcBorders>
            <w:shd w:val="clear" w:color="000000" w:fill="D9D9D9"/>
            <w:noWrap/>
            <w:vAlign w:val="center"/>
            <w:hideMark/>
          </w:tcPr>
          <w:p w14:paraId="18D8A4FD"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1,97</w:t>
            </w:r>
          </w:p>
        </w:tc>
        <w:tc>
          <w:tcPr>
            <w:tcW w:w="1229" w:type="dxa"/>
            <w:tcBorders>
              <w:top w:val="nil"/>
              <w:left w:val="nil"/>
              <w:bottom w:val="single" w:sz="4" w:space="0" w:color="auto"/>
              <w:right w:val="single" w:sz="4" w:space="0" w:color="auto"/>
            </w:tcBorders>
            <w:shd w:val="clear" w:color="000000" w:fill="D9D9D9"/>
            <w:noWrap/>
            <w:vAlign w:val="center"/>
            <w:hideMark/>
          </w:tcPr>
          <w:p w14:paraId="4A3E34C2"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375</w:t>
            </w:r>
          </w:p>
        </w:tc>
        <w:tc>
          <w:tcPr>
            <w:tcW w:w="1382" w:type="dxa"/>
            <w:tcBorders>
              <w:top w:val="nil"/>
              <w:left w:val="nil"/>
              <w:bottom w:val="single" w:sz="4" w:space="0" w:color="auto"/>
              <w:right w:val="single" w:sz="4" w:space="0" w:color="auto"/>
            </w:tcBorders>
            <w:shd w:val="clear" w:color="000000" w:fill="D9D9D9"/>
            <w:noWrap/>
            <w:vAlign w:val="center"/>
            <w:hideMark/>
          </w:tcPr>
          <w:p w14:paraId="4F7ACED1"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2106</w:t>
            </w:r>
          </w:p>
        </w:tc>
        <w:tc>
          <w:tcPr>
            <w:tcW w:w="1382" w:type="dxa"/>
            <w:tcBorders>
              <w:top w:val="nil"/>
              <w:left w:val="nil"/>
              <w:bottom w:val="single" w:sz="4" w:space="0" w:color="auto"/>
              <w:right w:val="single" w:sz="4" w:space="0" w:color="auto"/>
            </w:tcBorders>
            <w:shd w:val="clear" w:color="000000" w:fill="E7E6E6"/>
            <w:noWrap/>
            <w:vAlign w:val="center"/>
            <w:hideMark/>
          </w:tcPr>
          <w:p w14:paraId="355D07AF"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36</w:t>
            </w:r>
          </w:p>
        </w:tc>
        <w:tc>
          <w:tcPr>
            <w:tcW w:w="1382" w:type="dxa"/>
            <w:tcBorders>
              <w:top w:val="nil"/>
              <w:left w:val="nil"/>
              <w:bottom w:val="single" w:sz="4" w:space="0" w:color="auto"/>
              <w:right w:val="single" w:sz="4" w:space="0" w:color="auto"/>
            </w:tcBorders>
            <w:shd w:val="clear" w:color="000000" w:fill="E7E6E6"/>
            <w:noWrap/>
            <w:vAlign w:val="center"/>
            <w:hideMark/>
          </w:tcPr>
          <w:p w14:paraId="4CFCA3A8" w14:textId="77777777" w:rsidR="003C50B5" w:rsidRPr="003C50B5" w:rsidRDefault="003C50B5" w:rsidP="003C50B5">
            <w:pPr>
              <w:spacing w:line="276" w:lineRule="auto"/>
              <w:ind w:firstLine="0"/>
              <w:rPr>
                <w:rFonts w:ascii="Arial Narrow" w:eastAsia="Times New Roman" w:hAnsi="Arial Narrow" w:cs="Calibri"/>
                <w:b/>
                <w:bCs/>
                <w:kern w:val="0"/>
                <w:lang w:eastAsia="pl-PL"/>
              </w:rPr>
            </w:pPr>
            <w:r w:rsidRPr="003C50B5">
              <w:rPr>
                <w:rFonts w:ascii="Arial Narrow" w:eastAsia="Times New Roman" w:hAnsi="Arial Narrow" w:cs="Calibri"/>
                <w:b/>
                <w:bCs/>
                <w:kern w:val="0"/>
                <w:lang w:eastAsia="pl-PL"/>
              </w:rPr>
              <w:t>37</w:t>
            </w:r>
          </w:p>
        </w:tc>
      </w:tr>
    </w:tbl>
    <w:p w14:paraId="33782473" w14:textId="77777777" w:rsidR="003C50B5" w:rsidRPr="003C50B5" w:rsidRDefault="003C50B5" w:rsidP="003C50B5">
      <w:pPr>
        <w:spacing w:after="120" w:line="276" w:lineRule="auto"/>
        <w:ind w:firstLine="0"/>
        <w:rPr>
          <w:rFonts w:ascii="Arial Narrow" w:hAnsi="Arial Narrow"/>
        </w:rPr>
      </w:pPr>
    </w:p>
    <w:p w14:paraId="231B11DE" w14:textId="77777777" w:rsidR="003C50B5" w:rsidRPr="003C50B5" w:rsidRDefault="003C50B5" w:rsidP="00837361">
      <w:pPr>
        <w:spacing w:line="276" w:lineRule="auto"/>
        <w:ind w:firstLine="0"/>
        <w:rPr>
          <w:rFonts w:ascii="Arial Narrow" w:hAnsi="Arial Narrow"/>
        </w:rPr>
      </w:pPr>
      <w:r w:rsidRPr="003C50B5">
        <w:rPr>
          <w:rFonts w:ascii="Arial Narrow" w:hAnsi="Arial Narrow"/>
        </w:rPr>
        <w:t>Jak wynika z powyższej tabeli liczba mieszkańców obszaru objętego LSR wzrosła o 1,97% w stosunku do stanu z 2013 roku.  Jest to niewiel</w:t>
      </w:r>
      <w:r w:rsidR="00837361">
        <w:rPr>
          <w:rFonts w:ascii="Arial Narrow" w:hAnsi="Arial Narrow"/>
        </w:rPr>
        <w:t>k</w:t>
      </w:r>
      <w:r w:rsidRPr="003C50B5">
        <w:rPr>
          <w:rFonts w:ascii="Arial Narrow" w:hAnsi="Arial Narrow"/>
        </w:rPr>
        <w:t>i wzrost, do którego przyczyniły się cztery gminy, które jako jedyne zanotowały wzrost liczby mieszkańców. Szczególnym wzrostem ilości mieszkańców charakteryzują się gminy powiatu gorzowskiego, nazywane „sypialnią Gorzowa”, tj.: Deszcz</w:t>
      </w:r>
      <w:r w:rsidR="00837361">
        <w:rPr>
          <w:rFonts w:ascii="Arial Narrow" w:hAnsi="Arial Narrow"/>
        </w:rPr>
        <w:t>n</w:t>
      </w:r>
      <w:r w:rsidRPr="003C50B5">
        <w:rPr>
          <w:rFonts w:ascii="Arial Narrow" w:hAnsi="Arial Narrow"/>
        </w:rPr>
        <w:t>o (14%), Santok (12,6%), Kłodawa (10,2%) oraz Lubiszyn (0,5%), które zgodnie z Koncepcją Przestrzennego Zagospodarowania Kraju znajdują się w obszarze funkcjonalnym Gorzowa Wlkp. Większość gmin zanotowała spadek, a największy Gmina Torzym (7,4%). Największą gęstość zaludnienia wykazują gmina Bogdaniec (63 osoby na km2)  i Deszczno  (61 osoby na 1 km2) przy średniej gęstości zaludnienia gmin KST-LGD 37 osób/km</w:t>
      </w:r>
      <w:r w:rsidRPr="003C50B5">
        <w:rPr>
          <w:rFonts w:ascii="Arial Narrow" w:hAnsi="Arial Narrow"/>
          <w:vertAlign w:val="superscript"/>
        </w:rPr>
        <w:t>2</w:t>
      </w:r>
      <w:r w:rsidRPr="003C50B5">
        <w:rPr>
          <w:rFonts w:ascii="Arial Narrow" w:hAnsi="Arial Narrow"/>
        </w:rPr>
        <w:t xml:space="preserve"> i średnim zaludnieniu Województwa Lubuskiego 71 osób/km</w:t>
      </w:r>
      <w:r w:rsidRPr="003C50B5">
        <w:rPr>
          <w:rFonts w:ascii="Arial Narrow" w:hAnsi="Arial Narrow"/>
          <w:vertAlign w:val="superscript"/>
        </w:rPr>
        <w:t>2</w:t>
      </w:r>
      <w:r w:rsidRPr="003C50B5">
        <w:rPr>
          <w:rFonts w:ascii="Arial Narrow" w:hAnsi="Arial Narrow"/>
        </w:rPr>
        <w:t xml:space="preserve">. Z powyższego zestawienia rysuje się dość wyraźna różnica między gminami południowymi naszego obszaru, a gminami na jego północnym krańcu. Może to świadczyć o mniejszej atrakcyjności terenów południowych, które w oczach mieszkańców nie dają takich możliwości rozwoju jak gminy położone na północy, gdzie bardzo pozytywnie zaznacza się wpływ dużego ośrodka miejskiego jakim jest Gorzów Wlkp. </w:t>
      </w:r>
    </w:p>
    <w:p w14:paraId="60892D11" w14:textId="77777777" w:rsidR="003C50B5" w:rsidRPr="003C50B5" w:rsidRDefault="003C50B5" w:rsidP="00837361">
      <w:pPr>
        <w:spacing w:line="276" w:lineRule="auto"/>
        <w:ind w:firstLine="0"/>
        <w:rPr>
          <w:rFonts w:ascii="Arial Narrow" w:hAnsi="Arial Narrow"/>
        </w:rPr>
      </w:pPr>
      <w:r w:rsidRPr="003C50B5">
        <w:rPr>
          <w:rFonts w:ascii="Arial Narrow" w:hAnsi="Arial Narrow"/>
        </w:rPr>
        <w:t>Należy zauważyć, że proces migracyjny dla całego terenu KST-LGD w powyższym okresie jest mimo wszystko korzystny. Aż sześć gmin ma dodatnie saldo migracji mieszkańców. Najwyższe saldo migracji mają gminy: Santok, Deszczno, Kłodawa. Niestety, cztery gminy zanotowały ujemne saldo migracyjne ludności i są to gminy Sulęcin,</w:t>
      </w:r>
      <w:r w:rsidR="00837361">
        <w:rPr>
          <w:rFonts w:ascii="Arial Narrow" w:hAnsi="Arial Narrow"/>
        </w:rPr>
        <w:t xml:space="preserve"> </w:t>
      </w:r>
      <w:r w:rsidRPr="003C50B5">
        <w:rPr>
          <w:rFonts w:ascii="Arial Narrow" w:hAnsi="Arial Narrow"/>
        </w:rPr>
        <w:t xml:space="preserve">Torzym, Ośno Lubuskie i Krzeszyce. Mieszkańcy zauważają konieczność inwestowania w obszary wiejskie, aby stały się one rozwojowym miejscem do życia dla ludzi młodych, przyjaznym dla  osób starszych  i ciekawym dla odwiedzających turystów. </w:t>
      </w:r>
    </w:p>
    <w:p w14:paraId="0992C098" w14:textId="77777777" w:rsidR="003C50B5" w:rsidRPr="003C50B5" w:rsidRDefault="003C50B5" w:rsidP="00837361">
      <w:pPr>
        <w:spacing w:line="276" w:lineRule="auto"/>
        <w:ind w:firstLine="0"/>
        <w:rPr>
          <w:rFonts w:ascii="Arial Narrow" w:hAnsi="Arial Narrow"/>
        </w:rPr>
      </w:pPr>
      <w:r w:rsidRPr="003C50B5">
        <w:rPr>
          <w:rFonts w:ascii="Arial Narrow" w:hAnsi="Arial Narrow"/>
        </w:rPr>
        <w:t>W przeprowadzonym przez  KST-LGD badaniu ankietowym aż 41% respondentów wskazało, iż należy przeznaczyć środki szczególnie na uatrakcyjnienie obszarów wiejskich poprzez rozwój ogólnodostępnej i niekomercyjnej infrastruktury turystycznej, rekreacyjnej i kulturalnej oraz organizację różnych wydarzeń. Grupą najbardziej zainteresowaną wykorzyst</w:t>
      </w:r>
      <w:r w:rsidR="00837361">
        <w:rPr>
          <w:rFonts w:ascii="Arial Narrow" w:hAnsi="Arial Narrow"/>
        </w:rPr>
        <w:t>a</w:t>
      </w:r>
      <w:r w:rsidRPr="003C50B5">
        <w:rPr>
          <w:rFonts w:ascii="Arial Narrow" w:hAnsi="Arial Narrow"/>
        </w:rPr>
        <w:t>niem środków są organizacje pozarządowe (42%).</w:t>
      </w:r>
      <w:r w:rsidRPr="003C50B5">
        <w:rPr>
          <w:rFonts w:ascii="Arial Narrow" w:hAnsi="Arial Narrow"/>
          <w:vertAlign w:val="superscript"/>
        </w:rPr>
        <w:footnoteReference w:id="2"/>
      </w:r>
    </w:p>
    <w:p w14:paraId="5DF32B68" w14:textId="77777777" w:rsidR="003C50B5" w:rsidRPr="003C50B5" w:rsidRDefault="003C50B5" w:rsidP="003C50B5">
      <w:pPr>
        <w:keepNext/>
        <w:spacing w:line="276" w:lineRule="auto"/>
        <w:ind w:firstLine="0"/>
        <w:rPr>
          <w:rFonts w:ascii="Arial Narrow" w:hAnsi="Arial Narrow"/>
          <w:bCs/>
        </w:rPr>
      </w:pPr>
    </w:p>
    <w:p w14:paraId="54D52AB8" w14:textId="77777777" w:rsidR="003C50B5" w:rsidRPr="003C50B5" w:rsidRDefault="003C50B5" w:rsidP="003C50B5">
      <w:pPr>
        <w:keepNext/>
        <w:spacing w:line="276" w:lineRule="auto"/>
        <w:ind w:firstLine="0"/>
        <w:rPr>
          <w:rFonts w:ascii="Arial Narrow" w:hAnsi="Arial Narrow"/>
          <w:bCs/>
        </w:rPr>
      </w:pPr>
    </w:p>
    <w:p w14:paraId="10D4AAF1" w14:textId="77777777" w:rsidR="003C50B5" w:rsidRPr="003C50B5" w:rsidRDefault="003C50B5" w:rsidP="003C50B5">
      <w:pPr>
        <w:keepNext/>
        <w:spacing w:line="276" w:lineRule="auto"/>
        <w:ind w:firstLine="0"/>
        <w:rPr>
          <w:rFonts w:ascii="Arial Narrow" w:hAnsi="Arial Narrow"/>
          <w:bCs/>
        </w:rPr>
      </w:pPr>
    </w:p>
    <w:p w14:paraId="49AE87B6" w14:textId="77777777" w:rsidR="00276AC5" w:rsidRDefault="00276AC5" w:rsidP="003C50B5">
      <w:pPr>
        <w:spacing w:line="276" w:lineRule="auto"/>
        <w:ind w:firstLine="0"/>
        <w:rPr>
          <w:rFonts w:ascii="Arial Narrow" w:hAnsi="Arial Narrow"/>
          <w:bCs/>
        </w:rPr>
      </w:pPr>
    </w:p>
    <w:p w14:paraId="479938BE" w14:textId="77777777" w:rsidR="00276AC5" w:rsidRDefault="00276AC5" w:rsidP="003C50B5">
      <w:pPr>
        <w:spacing w:line="276" w:lineRule="auto"/>
        <w:ind w:firstLine="0"/>
        <w:rPr>
          <w:rFonts w:ascii="Arial Narrow" w:hAnsi="Arial Narrow"/>
          <w:bCs/>
        </w:rPr>
      </w:pPr>
    </w:p>
    <w:p w14:paraId="5C22B2E1" w14:textId="77777777" w:rsidR="003C50B5" w:rsidRPr="00837361" w:rsidRDefault="003C50B5" w:rsidP="00837361">
      <w:pPr>
        <w:spacing w:line="276" w:lineRule="auto"/>
        <w:ind w:firstLine="0"/>
        <w:jc w:val="left"/>
        <w:rPr>
          <w:rFonts w:ascii="Arial Narrow" w:hAnsi="Arial Narrow"/>
          <w:bCs/>
        </w:rPr>
      </w:pPr>
      <w:r w:rsidRPr="00837361">
        <w:rPr>
          <w:rFonts w:ascii="Arial Narrow" w:hAnsi="Arial Narrow"/>
          <w:bCs/>
        </w:rPr>
        <w:lastRenderedPageBreak/>
        <w:t>Tabela 3 Ludność wg funkcjonalnych grup wieku, płci oraz lokalizacji terytorialnej</w:t>
      </w:r>
      <w:r w:rsidRPr="00837361">
        <w:rPr>
          <w:rFonts w:ascii="Arial Narrow" w:hAnsi="Arial Narrow"/>
          <w:bCs/>
          <w:vertAlign w:val="superscript"/>
        </w:rPr>
        <w:footnoteReference w:id="3"/>
      </w:r>
    </w:p>
    <w:p w14:paraId="3A35441F" w14:textId="77777777" w:rsidR="003C50B5" w:rsidRPr="00837361" w:rsidRDefault="003C50B5" w:rsidP="003C50B5">
      <w:pPr>
        <w:spacing w:after="120" w:line="276" w:lineRule="auto"/>
        <w:rPr>
          <w:rFonts w:ascii="Arial Narrow" w:hAnsi="Arial Narrow"/>
          <w:color w:val="FF0000"/>
        </w:rPr>
      </w:pPr>
      <w:r w:rsidRPr="00837361">
        <w:rPr>
          <w:rFonts w:ascii="Arial Narrow" w:hAnsi="Arial Narrow"/>
          <w:noProof/>
          <w:lang w:eastAsia="pl-PL"/>
        </w:rPr>
        <w:drawing>
          <wp:anchor distT="0" distB="0" distL="114300" distR="114300" simplePos="0" relativeHeight="251660288" behindDoc="0" locked="0" layoutInCell="1" allowOverlap="1" wp14:anchorId="0CE0CBF3" wp14:editId="26FCDC4E">
            <wp:simplePos x="0" y="0"/>
            <wp:positionH relativeFrom="margin">
              <wp:align>right</wp:align>
            </wp:positionH>
            <wp:positionV relativeFrom="paragraph">
              <wp:posOffset>226585</wp:posOffset>
            </wp:positionV>
            <wp:extent cx="6393180" cy="1280160"/>
            <wp:effectExtent l="0" t="0" r="762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318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31FB2" w14:textId="77777777" w:rsidR="003C50B5" w:rsidRPr="003C50B5" w:rsidRDefault="003C50B5" w:rsidP="003C50B5">
      <w:pPr>
        <w:spacing w:after="120" w:line="276" w:lineRule="auto"/>
        <w:rPr>
          <w:rFonts w:ascii="Arial Narrow" w:hAnsi="Arial Narrow"/>
          <w:color w:val="FF0000"/>
        </w:rPr>
      </w:pPr>
    </w:p>
    <w:p w14:paraId="4963BF9D" w14:textId="77777777" w:rsidR="003C50B5" w:rsidRPr="003C50B5" w:rsidRDefault="003C50B5" w:rsidP="003C50B5">
      <w:pPr>
        <w:spacing w:after="120" w:line="276" w:lineRule="auto"/>
        <w:ind w:firstLine="0"/>
        <w:rPr>
          <w:rFonts w:ascii="Arial Narrow" w:hAnsi="Arial Narrow"/>
          <w:b/>
        </w:rPr>
      </w:pPr>
      <w:r w:rsidRPr="003C50B5">
        <w:rPr>
          <w:rFonts w:ascii="Arial Narrow" w:hAnsi="Arial Narrow"/>
        </w:rPr>
        <w:t xml:space="preserve">Przeprowadzona analiza ludności wg funkcjonalnych grup wieku, płci oraz lokalizacji terytorialnej wykazuje, że wśród mieszkańców KST-LGD największy odsetek populacji na dzień 31.12.2020 r. tj. 48,4% stanowią  mieszkańcy w wieku od 20 do 54 lat. Jest to grupa w wieku produkcyjnym, która zmniejszyła się w stosunku do roku 2013. Drugą grupę, co do wielkości, stanowią osoby w wieku 55 i więcej  lat (blisko 30%). W województwie Lubuskim również są to najliczniejsze grupy mieszkańców: 48% mieszkańcy w wieku 20-54 lat, prawie 32% osoby powyżej 55 lat. Kobiety w wieku produkcyjnym stanowią dominującą grupę wśród osób w  wieku produkcyjnym tj. 63,6%. Natomiast w województwie lubuskim sytuacja wygląda odwrotnie tzn. mężczyzn jest więcej niż kobiet o 1,79%. Zarówno na poziomie KST-LGD, jak i województwa, ilość kobiet w wieku 55 lat i starszych jest znacznie większa niż mężczyzn. Biorąc pod uwagę spostrzeżenia mieszkańców w trakcie przeprowadzonych konsultacji społecznych dokonano analizy grup wiekowych ludności KST-LGD ze szczególnym uwzględnieniem wieku od 20 do 54 roku życia oraz powyżej  55 roku życia. Według opinii uczestników konsultacji społecznych realizując LSR w latach 2021-2027 należy zwrócić szczególną uwagę na poprawę infrastruktury rekreacyjnej i sportowej, z której będą mogły korzystać kobiety np. podczas spacerów, opieki nad wnukami a także uprawiając czynne formy wypoczynku takie jak bardzo modny </w:t>
      </w:r>
      <w:proofErr w:type="spellStart"/>
      <w:r w:rsidRPr="003C50B5">
        <w:rPr>
          <w:rFonts w:ascii="Arial Narrow" w:hAnsi="Arial Narrow"/>
        </w:rPr>
        <w:t>nordic</w:t>
      </w:r>
      <w:proofErr w:type="spellEnd"/>
      <w:r w:rsidRPr="003C50B5">
        <w:rPr>
          <w:rFonts w:ascii="Arial Narrow" w:hAnsi="Arial Narrow"/>
        </w:rPr>
        <w:t xml:space="preserve"> </w:t>
      </w:r>
      <w:proofErr w:type="spellStart"/>
      <w:r w:rsidRPr="003C50B5">
        <w:rPr>
          <w:rFonts w:ascii="Arial Narrow" w:hAnsi="Arial Narrow"/>
        </w:rPr>
        <w:t>walking</w:t>
      </w:r>
      <w:proofErr w:type="spellEnd"/>
      <w:r w:rsidRPr="003C50B5">
        <w:rPr>
          <w:rFonts w:ascii="Arial Narrow" w:hAnsi="Arial Narrow"/>
        </w:rPr>
        <w:t xml:space="preserve">. </w:t>
      </w:r>
      <w:r w:rsidRPr="003C50B5">
        <w:rPr>
          <w:rFonts w:ascii="Arial Narrow" w:hAnsi="Arial Narrow"/>
          <w:b/>
        </w:rPr>
        <w:t xml:space="preserve">Przekazanie środków finansowych dla osób w tych przedziałach wiekowych rokuje duże szanse na ich prawidłowe wykorzystanie, a tym samym  przyczyni się do gospodarczego rozwoju regionu. </w:t>
      </w:r>
    </w:p>
    <w:p w14:paraId="12BABC9C" w14:textId="77777777" w:rsidR="003C50B5" w:rsidRPr="003C50B5" w:rsidRDefault="003C50B5" w:rsidP="003C50B5">
      <w:pPr>
        <w:spacing w:after="120" w:line="276" w:lineRule="auto"/>
        <w:rPr>
          <w:rFonts w:ascii="Arial Narrow" w:hAnsi="Arial Narrow"/>
          <w:b/>
        </w:rPr>
      </w:pPr>
    </w:p>
    <w:p w14:paraId="20E26698" w14:textId="77777777" w:rsidR="003C50B5" w:rsidRPr="00276AC5" w:rsidRDefault="003C50B5" w:rsidP="00837361">
      <w:pPr>
        <w:keepNext/>
        <w:keepLines/>
        <w:spacing w:line="276" w:lineRule="auto"/>
        <w:ind w:firstLine="0"/>
        <w:jc w:val="left"/>
        <w:outlineLvl w:val="1"/>
        <w:rPr>
          <w:rFonts w:ascii="Arial Narrow" w:eastAsiaTheme="majorEastAsia" w:hAnsi="Arial Narrow" w:cstheme="majorBidi"/>
          <w:b/>
          <w:bCs/>
          <w:color w:val="00B050"/>
        </w:rPr>
      </w:pPr>
      <w:bookmarkStart w:id="3" w:name="_Toc75873810"/>
      <w:bookmarkStart w:id="4" w:name="_Hlk135985895"/>
      <w:r w:rsidRPr="00276AC5">
        <w:rPr>
          <w:rFonts w:ascii="Arial Narrow" w:eastAsiaTheme="majorEastAsia" w:hAnsi="Arial Narrow" w:cstheme="majorBidi"/>
          <w:b/>
          <w:bCs/>
          <w:color w:val="00B050"/>
        </w:rPr>
        <w:t xml:space="preserve">II.4 </w:t>
      </w:r>
      <w:bookmarkStart w:id="5" w:name="_Hlk135987129"/>
      <w:r w:rsidRPr="00276AC5">
        <w:rPr>
          <w:rFonts w:ascii="Arial Narrow" w:eastAsiaTheme="majorEastAsia" w:hAnsi="Arial Narrow" w:cstheme="majorBidi"/>
          <w:b/>
          <w:bCs/>
          <w:color w:val="00B050"/>
        </w:rPr>
        <w:t>Krótki opis dziedzictwa kulturowego/zabytków</w:t>
      </w:r>
      <w:bookmarkEnd w:id="5"/>
    </w:p>
    <w:p w14:paraId="2886985B" w14:textId="77777777" w:rsidR="003C50B5" w:rsidRPr="003C50B5" w:rsidRDefault="003C50B5" w:rsidP="00837361">
      <w:pPr>
        <w:spacing w:line="276" w:lineRule="auto"/>
        <w:ind w:firstLine="0"/>
        <w:rPr>
          <w:rFonts w:ascii="Arial Narrow" w:hAnsi="Arial Narrow" w:cs="Arial"/>
        </w:rPr>
      </w:pPr>
      <w:r w:rsidRPr="003C50B5">
        <w:rPr>
          <w:rFonts w:ascii="Arial Narrow" w:hAnsi="Arial Narrow" w:cs="Arial"/>
        </w:rPr>
        <w:t>Historia obszaru LGD to historia bractw rycerskich oraz możnych rodów niemieckich. Pokłosie dziejów Krainy Szlaków Turystycznych znaleźć można w niemal każdej wiosce. Nawet małe miejscowości obfitują w liczne zabytkowe obiekty sakralne, pałace i zamki. Na obszarze LGD zachowały się również inne ciekawe obiekty – chałupy, stodoły, obory chłopskie, całe założenia gospodarskie lub założenia dworskie złożone z zabudowań i parków. Ze względu na mnogość zabytków w tym miejscu zostaną wskazane tylko wybrane obiekty w największej mierze decydujące o wartości kulturowej i historycznej obszaru:</w:t>
      </w:r>
    </w:p>
    <w:p w14:paraId="4E8FAB4E"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park krajobrazowy z XIX wieku w Lubniewicach – w parku znajduje się monumentalny neorenesansowy zamek z 1909 roku o urozmaiconej bryle z neogotycką wieżą widokową;</w:t>
      </w:r>
    </w:p>
    <w:p w14:paraId="78ABBDC7" w14:textId="77777777" w:rsidR="003C50B5" w:rsidRPr="003C50B5" w:rsidRDefault="003C50B5" w:rsidP="00837361">
      <w:pPr>
        <w:numPr>
          <w:ilvl w:val="0"/>
          <w:numId w:val="1"/>
        </w:numPr>
        <w:spacing w:after="120"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 xml:space="preserve">pałac w Gliśnie (Gmina Lubniewice) z 1793 roku – dawna siedziba rodziny von </w:t>
      </w:r>
      <w:proofErr w:type="spellStart"/>
      <w:r w:rsidRPr="003C50B5">
        <w:rPr>
          <w:rFonts w:ascii="Arial Narrow" w:eastAsiaTheme="minorHAnsi" w:hAnsi="Arial Narrow" w:cs="Arial"/>
          <w:kern w:val="0"/>
        </w:rPr>
        <w:t>Waldow</w:t>
      </w:r>
      <w:proofErr w:type="spellEnd"/>
      <w:r w:rsidRPr="003C50B5">
        <w:rPr>
          <w:rFonts w:ascii="Arial Narrow" w:eastAsiaTheme="minorHAnsi" w:hAnsi="Arial Narrow" w:cs="Arial"/>
          <w:kern w:val="0"/>
        </w:rPr>
        <w:t xml:space="preserve">; wokół pałacu rozciąga się park z przełomu XVIII/XIX wieku, w którym znajdują się sztuczne ruiny oraz mauzoleum </w:t>
      </w:r>
      <w:proofErr w:type="spellStart"/>
      <w:r w:rsidRPr="003C50B5">
        <w:rPr>
          <w:rFonts w:ascii="Arial Narrow" w:eastAsiaTheme="minorHAnsi" w:hAnsi="Arial Narrow" w:cs="Arial"/>
          <w:kern w:val="0"/>
        </w:rPr>
        <w:t>Henochów</w:t>
      </w:r>
      <w:proofErr w:type="spellEnd"/>
      <w:r w:rsidRPr="003C50B5">
        <w:rPr>
          <w:rFonts w:ascii="Arial Narrow" w:eastAsiaTheme="minorHAnsi" w:hAnsi="Arial Narrow" w:cs="Arial"/>
          <w:kern w:val="0"/>
        </w:rPr>
        <w:t xml:space="preserve"> – jednych z właścicieli Glisna;</w:t>
      </w:r>
    </w:p>
    <w:p w14:paraId="6F9C7174" w14:textId="77777777" w:rsidR="003C50B5" w:rsidRPr="003C50B5" w:rsidRDefault="003C50B5" w:rsidP="00837361">
      <w:pPr>
        <w:numPr>
          <w:ilvl w:val="0"/>
          <w:numId w:val="1"/>
        </w:numPr>
        <w:spacing w:after="120"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 xml:space="preserve">pałac w Jarnatowie (Gmina Lubniewice) z XVII wieku, należący niegdyś do rodziny von </w:t>
      </w:r>
      <w:proofErr w:type="spellStart"/>
      <w:r w:rsidRPr="003C50B5">
        <w:rPr>
          <w:rFonts w:ascii="Arial Narrow" w:eastAsiaTheme="minorHAnsi" w:hAnsi="Arial Narrow" w:cs="Arial"/>
          <w:kern w:val="0"/>
        </w:rPr>
        <w:t>Waldow</w:t>
      </w:r>
      <w:proofErr w:type="spellEnd"/>
      <w:r w:rsidRPr="003C50B5">
        <w:rPr>
          <w:rFonts w:ascii="Arial Narrow" w:eastAsiaTheme="minorHAnsi" w:hAnsi="Arial Narrow" w:cs="Arial"/>
          <w:kern w:val="0"/>
        </w:rPr>
        <w:t xml:space="preserve">; wokół pałacu rozciąga się park, do którego uchodzą zabytkowe aleje: dębowa, grabowa i bukowa, </w:t>
      </w:r>
    </w:p>
    <w:p w14:paraId="5FB95A36" w14:textId="77777777" w:rsidR="003C50B5" w:rsidRPr="003C50B5" w:rsidRDefault="003C50B5" w:rsidP="00837361">
      <w:pPr>
        <w:numPr>
          <w:ilvl w:val="0"/>
          <w:numId w:val="1"/>
        </w:numPr>
        <w:spacing w:after="120"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 xml:space="preserve">pałac w Rogach (Gmina Lubniewice) – położony nad jeziorem Zofiówka, powstał w latach 1906-1913 jako letnia rezydencja Adolfa Friedricha Augusta von </w:t>
      </w:r>
      <w:proofErr w:type="spellStart"/>
      <w:r w:rsidRPr="003C50B5">
        <w:rPr>
          <w:rFonts w:ascii="Arial Narrow" w:eastAsiaTheme="minorHAnsi" w:hAnsi="Arial Narrow" w:cs="Arial"/>
          <w:kern w:val="0"/>
        </w:rPr>
        <w:t>Waldow</w:t>
      </w:r>
      <w:proofErr w:type="spellEnd"/>
      <w:r w:rsidRPr="003C50B5">
        <w:rPr>
          <w:rFonts w:ascii="Arial Narrow" w:eastAsiaTheme="minorHAnsi" w:hAnsi="Arial Narrow" w:cs="Arial"/>
          <w:kern w:val="0"/>
        </w:rPr>
        <w:t>;</w:t>
      </w:r>
    </w:p>
    <w:p w14:paraId="64C6B92F" w14:textId="77777777" w:rsidR="003C50B5" w:rsidRPr="003C50B5" w:rsidRDefault="003C50B5" w:rsidP="00837361">
      <w:pPr>
        <w:numPr>
          <w:ilvl w:val="0"/>
          <w:numId w:val="1"/>
        </w:numPr>
        <w:spacing w:after="120"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barokowy park dworski w Kiełpinie (Gmina Deszczno) z ruinami pałacu z końca XVIII wieku; w pobliżu parku znajdują się pomniki przyrody – dęby szypułkowe;</w:t>
      </w:r>
    </w:p>
    <w:p w14:paraId="36BB2BAC" w14:textId="77777777" w:rsidR="003C50B5" w:rsidRPr="003C50B5" w:rsidRDefault="003C50B5" w:rsidP="00837361">
      <w:pPr>
        <w:numPr>
          <w:ilvl w:val="0"/>
          <w:numId w:val="1"/>
        </w:numPr>
        <w:spacing w:after="120"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pałacyk  z XVIII wieku wraz z parkiem krajobrazowym w Lipkach Wielkich (Gmina Santok);</w:t>
      </w:r>
    </w:p>
    <w:p w14:paraId="45873908"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lastRenderedPageBreak/>
        <w:t>kościół św. Jakuba w Ośnie Lubuskim – budowla pochodzi z 1298 roku z wysoką wieżą ozdobioną blendami; kościół zachwyca późnorenesansowym polichromowanym ołtarzem z 1672 roku, amboną z 1619 roku i kamienną chrzcielnicą z 1667 roku;</w:t>
      </w:r>
    </w:p>
    <w:p w14:paraId="6FA3AFAF"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późnoromański kościół z połowy XIII wieku w Marwicach (Gmina Lubiszyn) – zbudowany z ciosów granitowych, otoczony murem z głazów narzutowych; za kościołem znajduje się zabytkowy park;</w:t>
      </w:r>
    </w:p>
    <w:p w14:paraId="7597CD39"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kościół filialny w Rudnej (Gmina Krzeszyce) z XVII w. oraz kompleks dworski położony nad jeziorem wraz z przylegającym parkiem;</w:t>
      </w:r>
    </w:p>
    <w:p w14:paraId="5BA8FF43"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 xml:space="preserve">szachulcowy kościół parafialny p.w. Stanisława Kostki w Kołczynie (Gmina Krzeszyce) – obiekt z XVIII wieku z drewnianą dzwonnicą;   </w:t>
      </w:r>
    </w:p>
    <w:p w14:paraId="7D559B68"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 xml:space="preserve">neogotycki kościół w Kłodawie – wybudowany w latach 1858-60 z czerwonej cegły o drewnianym sklepieniu kolebkowym; </w:t>
      </w:r>
    </w:p>
    <w:p w14:paraId="5837DE77"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kościół parafialny p.w. Podwyższenia Krzyża z 1829 roku w Deszcznie – z barokowym wystrojem wnętrza z XVII/XVIII wieku;</w:t>
      </w:r>
    </w:p>
    <w:p w14:paraId="725E5478"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barokowy kościół p.w. Najświętszego Serca Jezusowego w Borku (Gmina Deszczno) – kościół z I połowy XVIII wieku z renesansowym dzwonem z 1596 r.;</w:t>
      </w:r>
    </w:p>
    <w:p w14:paraId="27DB663F"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kościół romański z 1788 r. oraz szachulcowe domy z XVIII wieku w Krasowcu (Gmina Deszczno);</w:t>
      </w:r>
    </w:p>
    <w:p w14:paraId="26EE5308"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kościół w Łupowie (Gmina Bogdaniec) – z szachulcową wieżą kościelną bogato zwieńczoną ukształtowanym hełmem z latarnią zakończoną wiatrowskazem, na którym znajduje się data 1909;</w:t>
      </w:r>
    </w:p>
    <w:p w14:paraId="1FF43313"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stylowa chata w Lubniewicach z końca XVIII w. o konstrukcji szkieletowej;</w:t>
      </w:r>
    </w:p>
    <w:p w14:paraId="76581938"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mury obronne w Ośnie Lubuskim – wzniesione w 1477 roku, zbudowane z głazów narzutowych, nadbudowane cegłami; otaczają miasto na długości 1350 m;</w:t>
      </w:r>
    </w:p>
    <w:p w14:paraId="2CCC77D3"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młyn w Bogdańcu z 1826 roku – obecnie znajduje się w nim Muzeum Kultury i Techniki Wiejskiej;</w:t>
      </w:r>
    </w:p>
    <w:p w14:paraId="3B1DA482"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murowana wieża widokowa w Santoku wybudowana w 1936 roku na miejscu historycznej wieży zamkowej postawionej przez Krzyżaków w 1437 roku (tzw. „Górny Zamek”)</w:t>
      </w:r>
    </w:p>
    <w:p w14:paraId="7B3CD44F" w14:textId="77777777" w:rsidR="003C50B5" w:rsidRPr="003C50B5" w:rsidRDefault="003C50B5" w:rsidP="00837361">
      <w:pPr>
        <w:numPr>
          <w:ilvl w:val="0"/>
          <w:numId w:val="1"/>
        </w:numPr>
        <w:spacing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stożkowate grodzisko z XIII-XIV w. na szczycie Sokolej Góry (Gmina Santok).</w:t>
      </w:r>
      <w:r w:rsidRPr="003C50B5">
        <w:rPr>
          <w:rFonts w:ascii="Arial Narrow" w:eastAsiaTheme="minorHAnsi" w:hAnsi="Arial Narrow" w:cs="Arial"/>
          <w:kern w:val="0"/>
        </w:rPr>
        <w:tab/>
      </w:r>
    </w:p>
    <w:p w14:paraId="67A9C6AB" w14:textId="77777777" w:rsidR="003C50B5" w:rsidRPr="003C50B5" w:rsidRDefault="003C50B5" w:rsidP="00837361">
      <w:pPr>
        <w:keepNext/>
        <w:keepLines/>
        <w:spacing w:after="120" w:line="276" w:lineRule="auto"/>
        <w:ind w:firstLine="0"/>
        <w:outlineLvl w:val="1"/>
        <w:rPr>
          <w:rFonts w:ascii="Arial Narrow" w:eastAsiaTheme="majorEastAsia" w:hAnsi="Arial Narrow" w:cstheme="majorBidi"/>
          <w:b/>
          <w:bCs/>
          <w:color w:val="4F81BD" w:themeColor="accent1"/>
        </w:rPr>
      </w:pPr>
    </w:p>
    <w:p w14:paraId="77378494" w14:textId="77777777" w:rsidR="00837361" w:rsidRDefault="003C50B5" w:rsidP="00837361">
      <w:pPr>
        <w:keepNext/>
        <w:keepLines/>
        <w:spacing w:line="276" w:lineRule="auto"/>
        <w:ind w:firstLine="0"/>
        <w:jc w:val="left"/>
        <w:outlineLvl w:val="1"/>
        <w:rPr>
          <w:rFonts w:ascii="Arial Narrow" w:eastAsiaTheme="majorEastAsia" w:hAnsi="Arial Narrow" w:cstheme="majorBidi"/>
          <w:b/>
          <w:bCs/>
          <w:color w:val="00B050"/>
        </w:rPr>
      </w:pPr>
      <w:r w:rsidRPr="00276AC5">
        <w:rPr>
          <w:rFonts w:ascii="Arial Narrow" w:eastAsiaTheme="majorEastAsia" w:hAnsi="Arial Narrow" w:cstheme="majorBidi"/>
          <w:b/>
          <w:bCs/>
          <w:color w:val="00B050"/>
        </w:rPr>
        <w:t>II.5 Krótka charakterystyka obszarów atrakcyjnych turystycznie</w:t>
      </w:r>
      <w:bookmarkEnd w:id="3"/>
      <w:r w:rsidRPr="00276AC5">
        <w:rPr>
          <w:rFonts w:ascii="Arial Narrow" w:eastAsiaTheme="majorEastAsia" w:hAnsi="Arial Narrow" w:cstheme="majorBidi"/>
          <w:b/>
          <w:bCs/>
          <w:color w:val="00B050"/>
        </w:rPr>
        <w:t xml:space="preserve"> </w:t>
      </w:r>
    </w:p>
    <w:p w14:paraId="27E628A3" w14:textId="77777777" w:rsidR="003C50B5" w:rsidRPr="003C50B5" w:rsidRDefault="003C50B5" w:rsidP="00837361">
      <w:pPr>
        <w:keepNext/>
        <w:keepLines/>
        <w:spacing w:line="276" w:lineRule="auto"/>
        <w:ind w:firstLine="0"/>
        <w:jc w:val="left"/>
        <w:outlineLvl w:val="1"/>
        <w:rPr>
          <w:rFonts w:ascii="Arial Narrow" w:hAnsi="Arial Narrow" w:cs="Arial"/>
        </w:rPr>
      </w:pPr>
      <w:r w:rsidRPr="003C50B5">
        <w:rPr>
          <w:rFonts w:ascii="Arial Narrow" w:hAnsi="Arial Narrow" w:cs="Arial"/>
        </w:rPr>
        <w:t>Obszar objęty LSR zlokalizowany jest w północnej części Województwa Lubuskiego. Zdecydowanym walorem KST-LGD jest czyste i w małym stopniu przekształcone środowisko naturalne.  Teren położony jest na Pojezierzu Lubuskim, na Równinie Torzymskiej i w Kotlinie Gorzowskiej (obszar Pradoliny Toruńsko-</w:t>
      </w:r>
      <w:proofErr w:type="spellStart"/>
      <w:r w:rsidRPr="003C50B5">
        <w:rPr>
          <w:rFonts w:ascii="Arial Narrow" w:hAnsi="Arial Narrow" w:cs="Arial"/>
        </w:rPr>
        <w:t>Eberswaldzkiej</w:t>
      </w:r>
      <w:proofErr w:type="spellEnd"/>
      <w:r w:rsidRPr="003C50B5">
        <w:rPr>
          <w:rFonts w:ascii="Arial Narrow" w:hAnsi="Arial Narrow" w:cs="Arial"/>
        </w:rPr>
        <w:t>). Cechy charakterystyczne obszaru to liczne pofałdowania terenu (pagórki, wzgórza, wały, doliny, wąwozy), niewielkie jeziora rynnowe oraz liczne lasy (zwłaszcza bukowe). Urozmaicona rzeźba terenu to przede wszystkich efekt działalności lodowca. Obszar obfituje w pradoliny, pasy wysoczyzn moreny czołowej z przewagą wzgórz sandrowych. Teren LGD to teren równinno-falisty z partiami o charakterze pagórkowym z siecią pradolin i bruzd rynnowych.</w:t>
      </w:r>
    </w:p>
    <w:p w14:paraId="43B1CD41" w14:textId="77777777" w:rsidR="003C50B5" w:rsidRPr="003C50B5" w:rsidRDefault="003C50B5" w:rsidP="00837361">
      <w:pPr>
        <w:spacing w:line="276" w:lineRule="auto"/>
        <w:ind w:firstLine="0"/>
        <w:rPr>
          <w:rFonts w:ascii="Arial Narrow" w:hAnsi="Arial Narrow" w:cs="Arial"/>
        </w:rPr>
      </w:pPr>
      <w:r w:rsidRPr="003C50B5">
        <w:rPr>
          <w:rFonts w:ascii="Arial Narrow" w:hAnsi="Arial Narrow" w:cs="Arial"/>
        </w:rPr>
        <w:t xml:space="preserve">Jednym z ważniejszych czynników tworzących krajobraz obszaru LGD są wody powierzchniowe. Liczne zbiorniki i cieki wodne stwarzają możliwości do uprawiania sportów, wędkowania i wypoczynku. </w:t>
      </w:r>
    </w:p>
    <w:p w14:paraId="171C20DD" w14:textId="77777777" w:rsidR="003C50B5" w:rsidRPr="003C50B5" w:rsidRDefault="003C50B5" w:rsidP="00837361">
      <w:pPr>
        <w:spacing w:line="276" w:lineRule="auto"/>
        <w:ind w:firstLine="0"/>
        <w:rPr>
          <w:rFonts w:ascii="Arial Narrow" w:hAnsi="Arial Narrow" w:cs="Arial"/>
        </w:rPr>
      </w:pPr>
      <w:r w:rsidRPr="003C50B5">
        <w:rPr>
          <w:rFonts w:ascii="Arial Narrow" w:hAnsi="Arial Narrow" w:cs="Arial"/>
        </w:rPr>
        <w:t>Warto wymienić kilka z nich:</w:t>
      </w:r>
    </w:p>
    <w:p w14:paraId="2D25877E" w14:textId="77777777" w:rsidR="003C50B5" w:rsidRPr="003C50B5" w:rsidRDefault="003C50B5" w:rsidP="00837361">
      <w:pPr>
        <w:numPr>
          <w:ilvl w:val="0"/>
          <w:numId w:val="2"/>
        </w:numPr>
        <w:spacing w:after="120"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 xml:space="preserve">jeziora: Glinik w gminie Deszczno, </w:t>
      </w:r>
      <w:proofErr w:type="spellStart"/>
      <w:r w:rsidRPr="003C50B5">
        <w:rPr>
          <w:rFonts w:ascii="Arial Narrow" w:eastAsiaTheme="minorHAnsi" w:hAnsi="Arial Narrow" w:cs="Arial"/>
          <w:kern w:val="0"/>
        </w:rPr>
        <w:t>Marwicko</w:t>
      </w:r>
      <w:proofErr w:type="spellEnd"/>
      <w:r w:rsidRPr="003C50B5">
        <w:rPr>
          <w:rFonts w:ascii="Arial Narrow" w:eastAsiaTheme="minorHAnsi" w:hAnsi="Arial Narrow" w:cs="Arial"/>
          <w:kern w:val="0"/>
        </w:rPr>
        <w:t xml:space="preserve"> w gminie Lubiszyn, Krajnik, Lubiąż, Krzywe, Śmierdzące, </w:t>
      </w:r>
      <w:proofErr w:type="spellStart"/>
      <w:r w:rsidRPr="003C50B5">
        <w:rPr>
          <w:rFonts w:ascii="Arial Narrow" w:eastAsiaTheme="minorHAnsi" w:hAnsi="Arial Narrow" w:cs="Arial"/>
          <w:kern w:val="0"/>
        </w:rPr>
        <w:t>Jarnatowskie</w:t>
      </w:r>
      <w:proofErr w:type="spellEnd"/>
      <w:r w:rsidRPr="003C50B5">
        <w:rPr>
          <w:rFonts w:ascii="Arial Narrow" w:eastAsiaTheme="minorHAnsi" w:hAnsi="Arial Narrow" w:cs="Arial"/>
          <w:kern w:val="0"/>
        </w:rPr>
        <w:t xml:space="preserve"> i </w:t>
      </w:r>
      <w:proofErr w:type="spellStart"/>
      <w:r w:rsidRPr="003C50B5">
        <w:rPr>
          <w:rFonts w:ascii="Arial Narrow" w:eastAsiaTheme="minorHAnsi" w:hAnsi="Arial Narrow" w:cs="Arial"/>
          <w:kern w:val="0"/>
        </w:rPr>
        <w:t>Lubniewsko</w:t>
      </w:r>
      <w:proofErr w:type="spellEnd"/>
      <w:r w:rsidRPr="003C50B5">
        <w:rPr>
          <w:rFonts w:ascii="Arial Narrow" w:eastAsiaTheme="minorHAnsi" w:hAnsi="Arial Narrow" w:cs="Arial"/>
          <w:kern w:val="0"/>
        </w:rPr>
        <w:t xml:space="preserve"> w gminie Lubniewice, Krzywe w gminie Torzym, </w:t>
      </w:r>
    </w:p>
    <w:p w14:paraId="13CBB203" w14:textId="77777777" w:rsidR="003C50B5" w:rsidRPr="003C50B5" w:rsidRDefault="003C50B5" w:rsidP="00837361">
      <w:pPr>
        <w:numPr>
          <w:ilvl w:val="0"/>
          <w:numId w:val="2"/>
        </w:numPr>
        <w:spacing w:after="120" w:line="276" w:lineRule="auto"/>
        <w:ind w:left="567" w:hanging="283"/>
        <w:contextualSpacing/>
        <w:rPr>
          <w:rFonts w:ascii="Arial Narrow" w:eastAsiaTheme="minorHAnsi" w:hAnsi="Arial Narrow" w:cs="Arial"/>
          <w:kern w:val="0"/>
        </w:rPr>
      </w:pPr>
      <w:r w:rsidRPr="003C50B5">
        <w:rPr>
          <w:rFonts w:ascii="Arial Narrow" w:eastAsiaTheme="minorHAnsi" w:hAnsi="Arial Narrow" w:cs="Arial"/>
          <w:kern w:val="0"/>
        </w:rPr>
        <w:t xml:space="preserve">rzeki: </w:t>
      </w:r>
      <w:proofErr w:type="spellStart"/>
      <w:r w:rsidRPr="003C50B5">
        <w:rPr>
          <w:rFonts w:ascii="Arial Narrow" w:eastAsiaTheme="minorHAnsi" w:hAnsi="Arial Narrow" w:cs="Arial"/>
          <w:kern w:val="0"/>
        </w:rPr>
        <w:t>Przyłężek</w:t>
      </w:r>
      <w:proofErr w:type="spellEnd"/>
      <w:r w:rsidRPr="003C50B5">
        <w:rPr>
          <w:rFonts w:ascii="Arial Narrow" w:eastAsiaTheme="minorHAnsi" w:hAnsi="Arial Narrow" w:cs="Arial"/>
          <w:kern w:val="0"/>
        </w:rPr>
        <w:t xml:space="preserve"> w gminie Kłodawa, Postomia w gminach Krzeszyce i Sulęcin, Rudzianka, Myśla w gminie Lubiszyn, Pliszka w Torzymiu, </w:t>
      </w:r>
      <w:proofErr w:type="spellStart"/>
      <w:r w:rsidRPr="003C50B5">
        <w:rPr>
          <w:rFonts w:ascii="Arial Narrow" w:eastAsiaTheme="minorHAnsi" w:hAnsi="Arial Narrow" w:cs="Arial"/>
          <w:kern w:val="0"/>
        </w:rPr>
        <w:t>Lubniewka</w:t>
      </w:r>
      <w:proofErr w:type="spellEnd"/>
      <w:r w:rsidRPr="003C50B5">
        <w:rPr>
          <w:rFonts w:ascii="Arial Narrow" w:eastAsiaTheme="minorHAnsi" w:hAnsi="Arial Narrow" w:cs="Arial"/>
          <w:kern w:val="0"/>
        </w:rPr>
        <w:t xml:space="preserve"> w gminie Lubniewice i Krzeszyce.</w:t>
      </w:r>
    </w:p>
    <w:p w14:paraId="0878CA46" w14:textId="77777777" w:rsidR="003C50B5" w:rsidRPr="003C50B5" w:rsidRDefault="003C50B5" w:rsidP="00892740">
      <w:pPr>
        <w:spacing w:line="276" w:lineRule="auto"/>
        <w:ind w:firstLine="0"/>
        <w:rPr>
          <w:rFonts w:ascii="Arial Narrow" w:hAnsi="Arial Narrow" w:cs="Arial"/>
        </w:rPr>
      </w:pPr>
      <w:r w:rsidRPr="003C50B5">
        <w:rPr>
          <w:rFonts w:ascii="Arial Narrow" w:hAnsi="Arial Narrow" w:cs="Arial"/>
        </w:rPr>
        <w:t>Niestety potencjał ten nie jest dostatecznie wykorzystywany, w większości tereny rzek i jezior pozostają niezagospodarowane. Brakuje zagospodarowanych plaż, spełniających wymagania dzisiejszego turysty (toalety, place zabaw dla dzieci, punkty gastronomiczne, strzeżone kąpieliska), ale również usług turystycznych takich jak wypożyczalnie sprzętów wodnych.</w:t>
      </w:r>
    </w:p>
    <w:p w14:paraId="1CF4A737" w14:textId="77777777" w:rsidR="003C50B5" w:rsidRPr="003C50B5" w:rsidRDefault="003C50B5" w:rsidP="00837361">
      <w:pPr>
        <w:spacing w:after="120" w:line="276" w:lineRule="auto"/>
        <w:ind w:firstLine="0"/>
        <w:rPr>
          <w:rFonts w:ascii="Arial Narrow" w:hAnsi="Arial Narrow" w:cs="Arial"/>
        </w:rPr>
      </w:pPr>
      <w:r w:rsidRPr="003C50B5">
        <w:rPr>
          <w:rFonts w:ascii="Arial Narrow" w:hAnsi="Arial Narrow" w:cs="Arial"/>
        </w:rPr>
        <w:t>Cały obszar objęty LGD charakteryzuje się dużym zalesieniem. Lasy zlokalizowane na terenie 10 gmin bogate w zwierzynę i runo leśne są niewątpliwie ich największą atrakcją turystyczną. Obszar LSR to jeden z najbardziej lesistych i najczystszych regionów kraju zwanych często „Zielonymi Płucami Polski”. Warto zwrócić uwagę na różnorodność ekosystemów oraz dostępność kompleksów leśnych przez cały rok. Atrakcyjność regionu podnoszą liczne fragmenty krajobrazu objęte ochroną przyrody:</w:t>
      </w:r>
    </w:p>
    <w:p w14:paraId="70BF9CE7" w14:textId="77777777" w:rsidR="003C50B5" w:rsidRPr="003C50B5" w:rsidRDefault="003C50B5" w:rsidP="00892740">
      <w:pPr>
        <w:numPr>
          <w:ilvl w:val="0"/>
          <w:numId w:val="6"/>
        </w:numPr>
        <w:spacing w:line="276" w:lineRule="auto"/>
        <w:ind w:left="567"/>
        <w:contextualSpacing/>
        <w:rPr>
          <w:rFonts w:ascii="Arial Narrow" w:eastAsiaTheme="minorHAnsi" w:hAnsi="Arial Narrow" w:cs="Arial"/>
          <w:kern w:val="0"/>
        </w:rPr>
      </w:pPr>
      <w:r w:rsidRPr="003C50B5">
        <w:rPr>
          <w:rFonts w:ascii="Arial Narrow" w:eastAsiaTheme="minorHAnsi" w:hAnsi="Arial Narrow" w:cs="Arial"/>
          <w:b/>
          <w:bCs/>
          <w:kern w:val="0"/>
        </w:rPr>
        <w:lastRenderedPageBreak/>
        <w:t>parki:</w:t>
      </w:r>
      <w:r w:rsidR="00892740">
        <w:rPr>
          <w:rFonts w:ascii="Arial Narrow" w:eastAsiaTheme="minorHAnsi" w:hAnsi="Arial Narrow" w:cs="Arial"/>
          <w:kern w:val="0"/>
        </w:rPr>
        <w:t xml:space="preserve"> </w:t>
      </w:r>
      <w:r w:rsidRPr="003C50B5">
        <w:rPr>
          <w:rFonts w:ascii="Arial Narrow" w:eastAsiaTheme="minorHAnsi" w:hAnsi="Arial Narrow" w:cs="Arial"/>
          <w:kern w:val="0"/>
        </w:rPr>
        <w:t>Gorzowski Park Krajobrazowy (gmina Kłodawa) oraz Łagowsko – Sulęciński Park Krajobrazowy (gmina Sulęcin),</w:t>
      </w:r>
    </w:p>
    <w:p w14:paraId="01F34567" w14:textId="77777777" w:rsidR="003C50B5" w:rsidRPr="003C50B5" w:rsidRDefault="003C50B5" w:rsidP="00892740">
      <w:pPr>
        <w:numPr>
          <w:ilvl w:val="0"/>
          <w:numId w:val="6"/>
        </w:numPr>
        <w:spacing w:line="276" w:lineRule="auto"/>
        <w:ind w:left="567"/>
        <w:contextualSpacing/>
        <w:rPr>
          <w:rFonts w:ascii="Arial Narrow" w:eastAsiaTheme="minorHAnsi" w:hAnsi="Arial Narrow" w:cs="Arial"/>
          <w:kern w:val="0"/>
        </w:rPr>
      </w:pPr>
      <w:r w:rsidRPr="003C50B5">
        <w:rPr>
          <w:rFonts w:ascii="Arial Narrow" w:eastAsiaTheme="minorHAnsi" w:hAnsi="Arial Narrow" w:cs="Arial"/>
          <w:b/>
          <w:bCs/>
          <w:kern w:val="0"/>
        </w:rPr>
        <w:t>rezerwaty przyrody:</w:t>
      </w:r>
      <w:r w:rsidRPr="003C50B5">
        <w:rPr>
          <w:rFonts w:ascii="Arial Narrow" w:eastAsiaTheme="minorHAnsi" w:hAnsi="Arial Narrow" w:cs="Arial"/>
          <w:kern w:val="0"/>
        </w:rPr>
        <w:t xml:space="preserve"> Janie im. Włodzimierza Korsaka (gmina Lubniewice);  „Bagno Chłopiny”</w:t>
      </w:r>
      <w:r w:rsidRPr="003C50B5">
        <w:rPr>
          <w:rFonts w:ascii="Arial Narrow" w:eastAsiaTheme="minorHAnsi" w:hAnsi="Arial Narrow" w:cstheme="minorBidi"/>
          <w:kern w:val="0"/>
        </w:rPr>
        <w:t xml:space="preserve"> </w:t>
      </w:r>
      <w:r w:rsidRPr="003C50B5">
        <w:rPr>
          <w:rFonts w:ascii="Arial Narrow" w:eastAsiaTheme="minorHAnsi" w:hAnsi="Arial Narrow" w:cs="Arial"/>
          <w:kern w:val="0"/>
        </w:rPr>
        <w:t xml:space="preserve">(gmina Lubiszyn);  ; „Buki </w:t>
      </w:r>
      <w:proofErr w:type="spellStart"/>
      <w:r w:rsidRPr="003C50B5">
        <w:rPr>
          <w:rFonts w:ascii="Arial Narrow" w:eastAsiaTheme="minorHAnsi" w:hAnsi="Arial Narrow" w:cs="Arial"/>
          <w:kern w:val="0"/>
        </w:rPr>
        <w:t>Zdroiskie</w:t>
      </w:r>
      <w:proofErr w:type="spellEnd"/>
      <w:r w:rsidRPr="003C50B5">
        <w:rPr>
          <w:rFonts w:ascii="Arial Narrow" w:eastAsiaTheme="minorHAnsi" w:hAnsi="Arial Narrow" w:cs="Arial"/>
          <w:kern w:val="0"/>
        </w:rPr>
        <w:t>”</w:t>
      </w:r>
      <w:r w:rsidRPr="003C50B5">
        <w:rPr>
          <w:rFonts w:ascii="Arial Narrow" w:eastAsiaTheme="minorHAnsi" w:hAnsi="Arial Narrow" w:cstheme="minorBidi"/>
          <w:kern w:val="0"/>
        </w:rPr>
        <w:t xml:space="preserve"> </w:t>
      </w:r>
      <w:r w:rsidRPr="003C50B5">
        <w:rPr>
          <w:rFonts w:ascii="Arial Narrow" w:eastAsiaTheme="minorHAnsi" w:hAnsi="Arial Narrow" w:cs="Arial"/>
          <w:kern w:val="0"/>
        </w:rPr>
        <w:t>(gmina Santok); „Bogdanieckie Cisy”, „Bogdanieckie Grądy”, „Dębowa Góra” (</w:t>
      </w:r>
      <w:proofErr w:type="spellStart"/>
      <w:r w:rsidRPr="003C50B5">
        <w:rPr>
          <w:rFonts w:ascii="Arial Narrow" w:eastAsiaTheme="minorHAnsi" w:hAnsi="Arial Narrow" w:cs="Arial"/>
          <w:kern w:val="0"/>
        </w:rPr>
        <w:t>gmian</w:t>
      </w:r>
      <w:proofErr w:type="spellEnd"/>
      <w:r w:rsidRPr="003C50B5">
        <w:rPr>
          <w:rFonts w:ascii="Arial Narrow" w:eastAsiaTheme="minorHAnsi" w:hAnsi="Arial Narrow" w:cs="Arial"/>
          <w:kern w:val="0"/>
        </w:rPr>
        <w:t xml:space="preserve"> Bogdaniec); „Santockie zakole” (gmina Deszczno); „Dębina”, „Rzeka </w:t>
      </w:r>
      <w:proofErr w:type="spellStart"/>
      <w:r w:rsidRPr="003C50B5">
        <w:rPr>
          <w:rFonts w:ascii="Arial Narrow" w:eastAsiaTheme="minorHAnsi" w:hAnsi="Arial Narrow" w:cs="Arial"/>
          <w:kern w:val="0"/>
        </w:rPr>
        <w:t>Przyłężek</w:t>
      </w:r>
      <w:proofErr w:type="spellEnd"/>
      <w:r w:rsidRPr="003C50B5">
        <w:rPr>
          <w:rFonts w:ascii="Arial Narrow" w:eastAsiaTheme="minorHAnsi" w:hAnsi="Arial Narrow" w:cs="Arial"/>
          <w:kern w:val="0"/>
        </w:rPr>
        <w:t>”, Wilanów” (gmina Kłodawa); „Buczyna łagowska” (gmina Sulęcin); „Dolina Ilanki”, „Dolina Ilanki II”, „Jezioro Ratno” (gmina Torzym),</w:t>
      </w:r>
    </w:p>
    <w:p w14:paraId="6CBA4114" w14:textId="77777777" w:rsidR="003C50B5" w:rsidRPr="003C50B5" w:rsidRDefault="003C50B5" w:rsidP="00892740">
      <w:pPr>
        <w:numPr>
          <w:ilvl w:val="0"/>
          <w:numId w:val="6"/>
        </w:numPr>
        <w:spacing w:line="276" w:lineRule="auto"/>
        <w:ind w:left="567"/>
        <w:rPr>
          <w:rFonts w:ascii="Arial Narrow" w:eastAsia="Times New Roman" w:hAnsi="Arial Narrow" w:cs="Arial"/>
          <w:kern w:val="0"/>
          <w:lang w:bidi="en-US"/>
        </w:rPr>
      </w:pPr>
      <w:r w:rsidRPr="003C50B5">
        <w:rPr>
          <w:rFonts w:ascii="Arial Narrow" w:eastAsia="Times New Roman" w:hAnsi="Arial Narrow" w:cs="Arial"/>
          <w:b/>
          <w:bCs/>
          <w:kern w:val="0"/>
          <w:lang w:bidi="en-US"/>
        </w:rPr>
        <w:t>zespoły przyrodniczo-krajobrazowe:</w:t>
      </w:r>
      <w:r w:rsidRPr="003C50B5">
        <w:rPr>
          <w:rFonts w:ascii="Arial Narrow" w:eastAsia="Times New Roman" w:hAnsi="Arial Narrow" w:cs="Arial"/>
          <w:kern w:val="0"/>
          <w:lang w:bidi="en-US"/>
        </w:rPr>
        <w:t xml:space="preserve">  „Uroczysko </w:t>
      </w:r>
      <w:proofErr w:type="spellStart"/>
      <w:r w:rsidRPr="003C50B5">
        <w:rPr>
          <w:rFonts w:ascii="Arial Narrow" w:eastAsia="Times New Roman" w:hAnsi="Arial Narrow" w:cs="Arial"/>
          <w:kern w:val="0"/>
          <w:lang w:bidi="en-US"/>
        </w:rPr>
        <w:t>Lubniewsko</w:t>
      </w:r>
      <w:proofErr w:type="spellEnd"/>
      <w:r w:rsidRPr="003C50B5">
        <w:rPr>
          <w:rFonts w:ascii="Arial Narrow" w:eastAsia="Times New Roman" w:hAnsi="Arial Narrow" w:cs="Arial"/>
          <w:kern w:val="0"/>
          <w:lang w:bidi="en-US"/>
        </w:rPr>
        <w:t>” (gminy Sulęcin i Lubniewice); „Dolina Lenki” (gmina Ośno Lubuskie),</w:t>
      </w:r>
    </w:p>
    <w:p w14:paraId="405F931B" w14:textId="77777777" w:rsidR="003C50B5" w:rsidRPr="003C50B5" w:rsidRDefault="003C50B5" w:rsidP="00892740">
      <w:pPr>
        <w:numPr>
          <w:ilvl w:val="0"/>
          <w:numId w:val="6"/>
        </w:numPr>
        <w:spacing w:line="276" w:lineRule="auto"/>
        <w:ind w:left="567"/>
        <w:contextualSpacing/>
        <w:rPr>
          <w:rFonts w:ascii="Arial Narrow" w:eastAsiaTheme="minorHAnsi" w:hAnsi="Arial Narrow" w:cs="Arial"/>
          <w:kern w:val="0"/>
        </w:rPr>
      </w:pPr>
      <w:r w:rsidRPr="003C50B5">
        <w:rPr>
          <w:rFonts w:ascii="Arial Narrow" w:eastAsiaTheme="minorHAnsi" w:hAnsi="Arial Narrow" w:cs="Arial"/>
          <w:b/>
          <w:bCs/>
          <w:kern w:val="0"/>
        </w:rPr>
        <w:t>obszary chronionego krajobrazu:</w:t>
      </w:r>
      <w:r w:rsidRPr="003C50B5">
        <w:rPr>
          <w:rFonts w:ascii="Arial Narrow" w:eastAsiaTheme="minorHAnsi" w:hAnsi="Arial Narrow" w:cs="Arial"/>
          <w:kern w:val="0"/>
        </w:rPr>
        <w:t xml:space="preserve"> „Gorzowsko – Krzeszycka Dolina Warty” ( gminy Bogdaniec, Deszczno, Krzeszyce i Lubiszyn), „Lasy Witnicko – Dzieduszyckie”  (gmina Bogdaniec), „Dolina Warty i Dolnej Noteci” (gmina Deszczno, Santok),  „Puszcza Barlinecka” (gmina Kłodawa, Lubiszyn i Santok), „Dolina Postomii” (gmina Krzeszyce, Sulęcin), „Lasy Witnicko-Dębieńskie” (gmina Lubiszyn), „</w:t>
      </w:r>
      <w:proofErr w:type="spellStart"/>
      <w:r w:rsidRPr="003C50B5">
        <w:rPr>
          <w:rFonts w:ascii="Arial Narrow" w:eastAsiaTheme="minorHAnsi" w:hAnsi="Arial Narrow" w:cs="Arial"/>
          <w:kern w:val="0"/>
        </w:rPr>
        <w:t>Ośniańska</w:t>
      </w:r>
      <w:proofErr w:type="spellEnd"/>
      <w:r w:rsidRPr="003C50B5">
        <w:rPr>
          <w:rFonts w:ascii="Arial Narrow" w:eastAsiaTheme="minorHAnsi" w:hAnsi="Arial Narrow" w:cs="Arial"/>
          <w:kern w:val="0"/>
        </w:rPr>
        <w:t xml:space="preserve"> Rynna z Jeziorem Busko” (gmina Ośno Lubuskie), „Dolina Jeziornej Strugi” (gmina Sulęcin), „Pojezierze Lubniewicko - Sulęcińskie” (gmina Sulęcin, Lubniewice, Torzym), „Dolina Ilanki”, „Puszcza nad Pliszką” (gmina Torzym), </w:t>
      </w:r>
    </w:p>
    <w:p w14:paraId="2D9B4083" w14:textId="77777777" w:rsidR="003C50B5" w:rsidRPr="003C50B5" w:rsidRDefault="003C50B5" w:rsidP="00892740">
      <w:pPr>
        <w:numPr>
          <w:ilvl w:val="0"/>
          <w:numId w:val="6"/>
        </w:numPr>
        <w:spacing w:line="276" w:lineRule="auto"/>
        <w:ind w:left="567"/>
        <w:contextualSpacing/>
        <w:rPr>
          <w:rFonts w:ascii="Arial Narrow" w:eastAsiaTheme="minorHAnsi" w:hAnsi="Arial Narrow" w:cs="Arial"/>
          <w:kern w:val="0"/>
        </w:rPr>
      </w:pPr>
      <w:r w:rsidRPr="003C50B5">
        <w:rPr>
          <w:rFonts w:ascii="Arial Narrow" w:eastAsiaTheme="minorHAnsi" w:hAnsi="Arial Narrow" w:cs="Arial"/>
          <w:b/>
          <w:bCs/>
          <w:kern w:val="0"/>
        </w:rPr>
        <w:t>obszary Natura 2000:</w:t>
      </w:r>
      <w:r w:rsidRPr="003C50B5">
        <w:rPr>
          <w:rFonts w:ascii="Arial Narrow" w:eastAsiaTheme="minorHAnsi" w:hAnsi="Arial Narrow" w:cs="Arial"/>
          <w:kern w:val="0"/>
        </w:rPr>
        <w:t xml:space="preserve"> „Ujście Warty” (gmina Bogdaniec, Deszczno, Krzeszyce), „Ostoja Witnicko-Dębniańska” (gmina Bogdaniec, Lubiszyn), „Ujście Noteci” (gmina Deszczno i Santok). „Dolina Dolnej Noteci” (gmina Deszczno i Santok), „Ostoja Barlinecka” (gmina Kłodawa i Santok), „Puszcza Barlinecka” (gmina Kłodawa i Santok), „Jezioro Kozie” (gmina Lubiszyn), „Torfowisko Chłopiny” (gmina Lubiszyn), „Bory </w:t>
      </w:r>
      <w:proofErr w:type="spellStart"/>
      <w:r w:rsidRPr="003C50B5">
        <w:rPr>
          <w:rFonts w:ascii="Arial Narrow" w:eastAsiaTheme="minorHAnsi" w:hAnsi="Arial Narrow" w:cs="Arial"/>
          <w:kern w:val="0"/>
        </w:rPr>
        <w:t>Chrobotkowe</w:t>
      </w:r>
      <w:proofErr w:type="spellEnd"/>
      <w:r w:rsidRPr="003C50B5">
        <w:rPr>
          <w:rFonts w:ascii="Arial Narrow" w:eastAsiaTheme="minorHAnsi" w:hAnsi="Arial Narrow" w:cs="Arial"/>
          <w:kern w:val="0"/>
        </w:rPr>
        <w:t xml:space="preserve"> Puszczy Noteckiej” (gmina Santok), „Puszcza Notecka” (gmina Santok), „Buczyny Łagowsko – </w:t>
      </w:r>
      <w:proofErr w:type="spellStart"/>
      <w:r w:rsidRPr="003C50B5">
        <w:rPr>
          <w:rFonts w:ascii="Arial Narrow" w:eastAsiaTheme="minorHAnsi" w:hAnsi="Arial Narrow" w:cs="Arial"/>
          <w:kern w:val="0"/>
        </w:rPr>
        <w:t>Sulecińskie</w:t>
      </w:r>
      <w:proofErr w:type="spellEnd"/>
      <w:r w:rsidRPr="003C50B5">
        <w:rPr>
          <w:rFonts w:ascii="Arial Narrow" w:eastAsiaTheme="minorHAnsi" w:hAnsi="Arial Narrow" w:cs="Arial"/>
          <w:kern w:val="0"/>
        </w:rPr>
        <w:t xml:space="preserve">” (gmina Sulęcin, Torzym), „Nietoperek” (gmina Sulęcin), „Dolina Ilanki”, „Dolina Pliszki”, „Rynna Jezior Torzymskich”, „Stara Dąbrowa w Korytach” (gmina Torzym), </w:t>
      </w:r>
    </w:p>
    <w:p w14:paraId="3806A2EE" w14:textId="77777777" w:rsidR="003C50B5" w:rsidRPr="003C50B5" w:rsidRDefault="003C50B5" w:rsidP="00892740">
      <w:pPr>
        <w:numPr>
          <w:ilvl w:val="0"/>
          <w:numId w:val="6"/>
        </w:numPr>
        <w:spacing w:line="276" w:lineRule="auto"/>
        <w:ind w:left="567"/>
        <w:rPr>
          <w:rFonts w:ascii="Arial Narrow" w:eastAsia="Times New Roman" w:hAnsi="Arial Narrow" w:cs="Arial"/>
          <w:kern w:val="0"/>
          <w:lang w:bidi="en-US"/>
        </w:rPr>
      </w:pPr>
      <w:r w:rsidRPr="003C50B5">
        <w:rPr>
          <w:rFonts w:ascii="Arial Narrow" w:eastAsia="Times New Roman" w:hAnsi="Arial Narrow" w:cs="Arial"/>
          <w:b/>
          <w:bCs/>
          <w:kern w:val="0"/>
          <w:lang w:bidi="en-US"/>
        </w:rPr>
        <w:t>pomniki przyrody ożywionej i nieożywionej</w:t>
      </w:r>
      <w:r w:rsidRPr="003C50B5">
        <w:rPr>
          <w:rFonts w:ascii="Arial Narrow" w:eastAsia="Times New Roman" w:hAnsi="Arial Narrow" w:cs="Arial"/>
          <w:kern w:val="0"/>
          <w:lang w:bidi="en-US"/>
        </w:rPr>
        <w:t xml:space="preserve"> (np. drzewa, głazy narzutowe);</w:t>
      </w:r>
    </w:p>
    <w:p w14:paraId="71A546EB" w14:textId="77777777" w:rsidR="003C50B5" w:rsidRPr="003C50B5" w:rsidRDefault="003C50B5" w:rsidP="00892740">
      <w:pPr>
        <w:numPr>
          <w:ilvl w:val="0"/>
          <w:numId w:val="6"/>
        </w:numPr>
        <w:spacing w:line="276" w:lineRule="auto"/>
        <w:ind w:left="567"/>
        <w:contextualSpacing/>
        <w:rPr>
          <w:rFonts w:ascii="Arial Narrow" w:eastAsiaTheme="minorHAnsi" w:hAnsi="Arial Narrow" w:cs="Arial"/>
          <w:kern w:val="0"/>
        </w:rPr>
      </w:pPr>
      <w:r w:rsidRPr="003C50B5">
        <w:rPr>
          <w:rFonts w:ascii="Arial Narrow" w:eastAsiaTheme="minorHAnsi" w:hAnsi="Arial Narrow" w:cs="Arial"/>
          <w:b/>
          <w:bCs/>
          <w:kern w:val="0"/>
        </w:rPr>
        <w:t>inne obiekty i obszary cenne przyrodniczo</w:t>
      </w:r>
      <w:r w:rsidRPr="003C50B5">
        <w:rPr>
          <w:rFonts w:ascii="Arial Narrow" w:eastAsiaTheme="minorHAnsi" w:hAnsi="Arial Narrow" w:cs="Arial"/>
          <w:kern w:val="0"/>
        </w:rPr>
        <w:t xml:space="preserve"> (m.in. park podworski w Kownatach, kompleks lasów dębowo-bukowych w Drzewcach, otulina Łagowskiego Parku Krajobrazowego);</w:t>
      </w:r>
    </w:p>
    <w:p w14:paraId="6C9EA9FE" w14:textId="77777777" w:rsidR="003C50B5" w:rsidRPr="003C50B5" w:rsidRDefault="003C50B5" w:rsidP="00892740">
      <w:pPr>
        <w:numPr>
          <w:ilvl w:val="0"/>
          <w:numId w:val="6"/>
        </w:numPr>
        <w:spacing w:line="276" w:lineRule="auto"/>
        <w:ind w:left="567"/>
        <w:rPr>
          <w:rFonts w:ascii="Arial Narrow" w:eastAsia="Times New Roman" w:hAnsi="Arial Narrow" w:cs="Arial"/>
          <w:kern w:val="0"/>
          <w:lang w:val="en-US" w:bidi="en-US"/>
        </w:rPr>
      </w:pPr>
      <w:proofErr w:type="spellStart"/>
      <w:r w:rsidRPr="003C50B5">
        <w:rPr>
          <w:rFonts w:ascii="Arial Narrow" w:eastAsia="Times New Roman" w:hAnsi="Arial Narrow" w:cs="Arial"/>
          <w:b/>
          <w:bCs/>
          <w:kern w:val="0"/>
          <w:lang w:val="en-US" w:bidi="en-US"/>
        </w:rPr>
        <w:t>użytki</w:t>
      </w:r>
      <w:proofErr w:type="spellEnd"/>
      <w:r w:rsidRPr="003C50B5">
        <w:rPr>
          <w:rFonts w:ascii="Arial Narrow" w:eastAsia="Times New Roman" w:hAnsi="Arial Narrow" w:cs="Arial"/>
          <w:b/>
          <w:bCs/>
          <w:kern w:val="0"/>
          <w:lang w:val="en-US" w:bidi="en-US"/>
        </w:rPr>
        <w:t xml:space="preserve"> </w:t>
      </w:r>
      <w:proofErr w:type="spellStart"/>
      <w:r w:rsidRPr="003C50B5">
        <w:rPr>
          <w:rFonts w:ascii="Arial Narrow" w:eastAsia="Times New Roman" w:hAnsi="Arial Narrow" w:cs="Arial"/>
          <w:b/>
          <w:bCs/>
          <w:kern w:val="0"/>
          <w:lang w:val="en-US" w:bidi="en-US"/>
        </w:rPr>
        <w:t>ekologiczne</w:t>
      </w:r>
      <w:proofErr w:type="spellEnd"/>
      <w:r w:rsidRPr="003C50B5">
        <w:rPr>
          <w:rFonts w:ascii="Arial Narrow" w:eastAsia="Times New Roman" w:hAnsi="Arial Narrow" w:cs="Arial"/>
          <w:kern w:val="0"/>
          <w:lang w:val="en-US" w:bidi="en-US"/>
        </w:rPr>
        <w:t>.</w:t>
      </w:r>
    </w:p>
    <w:p w14:paraId="1DEC6299" w14:textId="77777777" w:rsidR="003C50B5" w:rsidRPr="003C50B5" w:rsidRDefault="003C50B5" w:rsidP="00892740">
      <w:pPr>
        <w:spacing w:line="276" w:lineRule="auto"/>
        <w:ind w:left="284" w:firstLine="0"/>
        <w:rPr>
          <w:rFonts w:ascii="Arial Narrow" w:eastAsia="Times New Roman" w:hAnsi="Arial Narrow" w:cs="Arial"/>
          <w:kern w:val="0"/>
          <w:lang w:val="en-US" w:bidi="en-US"/>
        </w:rPr>
      </w:pPr>
    </w:p>
    <w:p w14:paraId="108F3BA9" w14:textId="77777777" w:rsidR="003C50B5" w:rsidRPr="003C50B5" w:rsidRDefault="003C50B5" w:rsidP="00892740">
      <w:pPr>
        <w:spacing w:line="276" w:lineRule="auto"/>
        <w:ind w:firstLine="0"/>
        <w:rPr>
          <w:rFonts w:ascii="Arial Narrow" w:eastAsia="Times New Roman" w:hAnsi="Arial Narrow" w:cs="Arial"/>
          <w:kern w:val="0"/>
          <w:lang w:bidi="en-US"/>
        </w:rPr>
      </w:pPr>
      <w:r w:rsidRPr="003C50B5">
        <w:rPr>
          <w:rFonts w:ascii="Arial Narrow" w:eastAsia="Times New Roman" w:hAnsi="Arial Narrow" w:cs="Arial"/>
          <w:kern w:val="0"/>
          <w:lang w:bidi="en-US"/>
        </w:rPr>
        <w:t>Nasz obszar wyróżnia się przyrodniczo na tle całego województwa.  14 z 67 rezerwatów przyrody istniejących w województwie lubuskim znajduje się  na terenie LGD, co stanowi 21% wszystkich rezerwatów. Na naszym obszarze jest także ¼ wszystkich  parków krajobrazowych z województwa lubuskiego oraz blisko 30% wszystkich obszarów chronionego krajobrazu. W województwie lubuskim ponad 36% powierzchni objęte jest ochroną bioróżnorodności i bogactwa przyrodniczego przez sieć Natura 2000, a na obszarze LGD jest to wartość zbliżona ponieważ blisko 30% obszaru LGD objęte jest tego typu ochroną.</w:t>
      </w:r>
    </w:p>
    <w:p w14:paraId="61F07F16" w14:textId="77777777" w:rsidR="003C50B5" w:rsidRPr="003C50B5" w:rsidRDefault="003C50B5" w:rsidP="00892740">
      <w:pPr>
        <w:spacing w:line="276" w:lineRule="auto"/>
        <w:ind w:firstLine="0"/>
        <w:rPr>
          <w:rFonts w:ascii="Arial Narrow" w:eastAsia="Times New Roman" w:hAnsi="Arial Narrow" w:cs="Arial"/>
          <w:bCs/>
          <w:kern w:val="0"/>
          <w:lang w:bidi="en-US"/>
        </w:rPr>
      </w:pPr>
      <w:r w:rsidRPr="003C50B5">
        <w:rPr>
          <w:rFonts w:ascii="Arial Narrow" w:eastAsia="Times New Roman" w:hAnsi="Arial Narrow" w:cs="Arial"/>
          <w:kern w:val="0"/>
          <w:lang w:bidi="en-US"/>
        </w:rPr>
        <w:t>Teren Krainy Szlaków Turystycznych to miejsce gdzie znajdą dla siebie miejsca atrakcyjne turyści, zarówno wędrujący jak i cykliści. Mnogość szlaków pieszych, ścieżek, m.in.:</w:t>
      </w:r>
      <w:r w:rsidRPr="003C50B5">
        <w:rPr>
          <w:rFonts w:ascii="Arial Narrow" w:eastAsiaTheme="majorEastAsia" w:hAnsi="Arial Narrow" w:cs="Arial"/>
          <w:bCs/>
          <w:kern w:val="0"/>
          <w:lang w:bidi="en-US"/>
        </w:rPr>
        <w:t xml:space="preserve"> Szlaki </w:t>
      </w:r>
      <w:proofErr w:type="spellStart"/>
      <w:r w:rsidRPr="003C50B5">
        <w:rPr>
          <w:rFonts w:ascii="Arial Narrow" w:eastAsiaTheme="majorEastAsia" w:hAnsi="Arial Narrow" w:cs="Arial"/>
          <w:bCs/>
          <w:kern w:val="0"/>
          <w:lang w:bidi="en-US"/>
        </w:rPr>
        <w:t>Nordic</w:t>
      </w:r>
      <w:proofErr w:type="spellEnd"/>
      <w:r w:rsidRPr="003C50B5">
        <w:rPr>
          <w:rFonts w:ascii="Arial Narrow" w:eastAsiaTheme="majorEastAsia" w:hAnsi="Arial Narrow" w:cs="Arial"/>
          <w:bCs/>
          <w:kern w:val="0"/>
          <w:lang w:bidi="en-US"/>
        </w:rPr>
        <w:t xml:space="preserve"> </w:t>
      </w:r>
      <w:proofErr w:type="spellStart"/>
      <w:r w:rsidRPr="003C50B5">
        <w:rPr>
          <w:rFonts w:ascii="Arial Narrow" w:eastAsiaTheme="majorEastAsia" w:hAnsi="Arial Narrow" w:cs="Arial"/>
          <w:bCs/>
          <w:kern w:val="0"/>
          <w:lang w:bidi="en-US"/>
        </w:rPr>
        <w:t>Walking</w:t>
      </w:r>
      <w:proofErr w:type="spellEnd"/>
      <w:r w:rsidRPr="003C50B5">
        <w:rPr>
          <w:rFonts w:ascii="Arial Narrow" w:eastAsiaTheme="majorEastAsia" w:hAnsi="Arial Narrow" w:cs="Arial"/>
          <w:bCs/>
          <w:kern w:val="0"/>
          <w:lang w:bidi="en-US"/>
        </w:rPr>
        <w:t xml:space="preserve">, </w:t>
      </w:r>
      <w:r w:rsidRPr="003C50B5">
        <w:rPr>
          <w:rFonts w:ascii="Arial Narrow" w:eastAsia="Times New Roman" w:hAnsi="Arial Narrow" w:cs="Arial"/>
          <w:bCs/>
          <w:kern w:val="0"/>
          <w:lang w:bidi="en-US"/>
        </w:rPr>
        <w:t xml:space="preserve">Szlak Doliny Trzech Młynów, </w:t>
      </w:r>
      <w:r w:rsidRPr="003C50B5">
        <w:rPr>
          <w:rFonts w:ascii="Arial Narrow" w:eastAsiaTheme="majorEastAsia" w:hAnsi="Arial Narrow" w:cs="Arial"/>
          <w:bCs/>
          <w:kern w:val="0"/>
          <w:lang w:bidi="en-US"/>
        </w:rPr>
        <w:t xml:space="preserve">Lubuska Droga św. Jakuba, ścieżki dydaktyczne Międzynarodowy Szlak Rowerowy R-1, Szlak rowerowy </w:t>
      </w:r>
      <w:proofErr w:type="spellStart"/>
      <w:r w:rsidRPr="003C50B5">
        <w:rPr>
          <w:rFonts w:ascii="Arial Narrow" w:eastAsiaTheme="majorEastAsia" w:hAnsi="Arial Narrow" w:cs="Arial"/>
          <w:bCs/>
          <w:kern w:val="0"/>
          <w:lang w:bidi="en-US"/>
        </w:rPr>
        <w:t>Beeskow</w:t>
      </w:r>
      <w:proofErr w:type="spellEnd"/>
      <w:r w:rsidRPr="003C50B5">
        <w:rPr>
          <w:rFonts w:ascii="Arial Narrow" w:eastAsiaTheme="majorEastAsia" w:hAnsi="Arial Narrow" w:cs="Arial"/>
          <w:bCs/>
          <w:kern w:val="0"/>
          <w:lang w:bidi="en-US"/>
        </w:rPr>
        <w:t xml:space="preserve"> – Sulęcin a także 15 km </w:t>
      </w:r>
      <w:r w:rsidRPr="003C50B5">
        <w:rPr>
          <w:rFonts w:ascii="Arial Narrow" w:eastAsia="Times New Roman" w:hAnsi="Arial Narrow" w:cs="Arial"/>
          <w:bCs/>
          <w:kern w:val="0"/>
          <w:lang w:bidi="en-US"/>
        </w:rPr>
        <w:t xml:space="preserve">Szlak konny - HORSE TRAIL  Gądków Wielki - Garbicz w Gminie Torzym.  Niestety odczuwalny jest brak spójnej oferty turystycznej. Wiele szlaków istnieje wyłącznie na papierze, odczuwalny jest brak koordynacji działań promocyjnych na terenie LGD. </w:t>
      </w:r>
    </w:p>
    <w:p w14:paraId="62484DC6" w14:textId="77777777" w:rsidR="003C50B5" w:rsidRDefault="003C50B5" w:rsidP="00892740">
      <w:pPr>
        <w:spacing w:line="276" w:lineRule="auto"/>
        <w:ind w:firstLine="0"/>
        <w:rPr>
          <w:rFonts w:ascii="Arial Narrow" w:eastAsia="Times New Roman" w:hAnsi="Arial Narrow" w:cs="Arial"/>
          <w:bCs/>
          <w:kern w:val="0"/>
          <w:lang w:bidi="en-US"/>
        </w:rPr>
      </w:pPr>
      <w:r w:rsidRPr="003C50B5">
        <w:rPr>
          <w:rFonts w:ascii="Arial Narrow" w:eastAsia="Times New Roman" w:hAnsi="Arial Narrow" w:cs="Arial"/>
          <w:bCs/>
          <w:kern w:val="0"/>
          <w:lang w:bidi="en-US"/>
        </w:rPr>
        <w:t>W latach 2018-2019</w:t>
      </w:r>
      <w:r w:rsidR="00892740">
        <w:rPr>
          <w:rFonts w:ascii="Arial Narrow" w:eastAsia="Times New Roman" w:hAnsi="Arial Narrow" w:cs="Arial"/>
          <w:bCs/>
          <w:kern w:val="0"/>
          <w:lang w:bidi="en-US"/>
        </w:rPr>
        <w:t xml:space="preserve"> nasze Stowarzyszenie realizował</w:t>
      </w:r>
      <w:r w:rsidRPr="003C50B5">
        <w:rPr>
          <w:rFonts w:ascii="Arial Narrow" w:eastAsia="Times New Roman" w:hAnsi="Arial Narrow" w:cs="Arial"/>
          <w:bCs/>
          <w:kern w:val="0"/>
          <w:lang w:bidi="en-US"/>
        </w:rPr>
        <w:t>o projekt współpracy pod nazwą: Promocja regionów poprzez aktywną turystykę - akronim „PREPATUR””. Celem ogólnym projektu była promocja regionów i dziedzictwa lokalnego. Celem szczegółowym projektu było podnoszenie atrakcyjności rekreacyjno-turystycznej regionu poprzez popularyzację aktywnych form turystyki oraz wzmacnianie kapitału społecznego poprzez aktywizację mieszkańców. Cele zostały osiągnięte poprzez przygotowanie gier terenowych, geocachingu, a także imprez/eventów promujących nowe formy turystyki.</w:t>
      </w:r>
    </w:p>
    <w:p w14:paraId="0ADC9C85" w14:textId="77777777" w:rsidR="00892740" w:rsidRPr="003C50B5" w:rsidRDefault="00892740" w:rsidP="00892740">
      <w:pPr>
        <w:spacing w:line="276" w:lineRule="auto"/>
        <w:ind w:firstLine="0"/>
        <w:rPr>
          <w:rFonts w:ascii="Arial Narrow" w:eastAsia="Times New Roman" w:hAnsi="Arial Narrow" w:cs="Arial"/>
          <w:bCs/>
          <w:kern w:val="0"/>
          <w:lang w:bidi="en-US"/>
        </w:rPr>
      </w:pPr>
    </w:p>
    <w:p w14:paraId="4C6D49E5" w14:textId="77777777" w:rsidR="003C50B5" w:rsidRPr="003C50B5" w:rsidRDefault="003C50B5" w:rsidP="00892740">
      <w:pPr>
        <w:keepNext/>
        <w:keepLines/>
        <w:spacing w:line="276" w:lineRule="auto"/>
        <w:ind w:firstLine="0"/>
        <w:jc w:val="left"/>
        <w:outlineLvl w:val="1"/>
        <w:rPr>
          <w:rFonts w:ascii="Arial Narrow" w:hAnsi="Arial Narrow" w:cs="Arial"/>
        </w:rPr>
      </w:pPr>
      <w:bookmarkStart w:id="6" w:name="_Toc75873811"/>
      <w:r w:rsidRPr="00276AC5">
        <w:rPr>
          <w:rFonts w:ascii="Arial Narrow" w:eastAsiaTheme="majorEastAsia" w:hAnsi="Arial Narrow" w:cstheme="majorBidi"/>
          <w:b/>
          <w:bCs/>
          <w:color w:val="00B050"/>
        </w:rPr>
        <w:lastRenderedPageBreak/>
        <w:t>II.6 Opis produktów lokalnych, tradycyjnych i regionalnych</w:t>
      </w:r>
      <w:bookmarkEnd w:id="6"/>
      <w:r w:rsidR="00892740">
        <w:rPr>
          <w:rFonts w:ascii="Arial Narrow" w:eastAsiaTheme="majorEastAsia" w:hAnsi="Arial Narrow" w:cstheme="majorBidi"/>
          <w:b/>
          <w:bCs/>
          <w:color w:val="00B050"/>
        </w:rPr>
        <w:br/>
      </w:r>
      <w:r w:rsidRPr="003C50B5">
        <w:rPr>
          <w:rFonts w:ascii="Arial Narrow" w:hAnsi="Arial Narrow" w:cs="Arial"/>
        </w:rPr>
        <w:t>Teren objęty LSR to miejsce gdzie możemy spotkać produkty tradycyjne i regionalne wpisane na Listę Produktów Tradycyjnych. Spośród 83 takich produktów zarejestrowanych w województwie lubuskim (stan na dzień 31.12.2022r.) aż  10 możemy spotkać w Krainie Szlaków Turystycznych.</w:t>
      </w:r>
      <w:r w:rsidR="00892740">
        <w:rPr>
          <w:rFonts w:ascii="Arial Narrow" w:hAnsi="Arial Narrow" w:cs="Arial"/>
        </w:rPr>
        <w:br/>
      </w:r>
      <w:r w:rsidRPr="003C50B5">
        <w:rPr>
          <w:rFonts w:ascii="Arial Narrow" w:hAnsi="Arial Narrow" w:cs="Arial"/>
        </w:rPr>
        <w:t xml:space="preserve">W  Lipkach Wielkich w gminie Santok od ponad 60 lat robi się tradycyjną </w:t>
      </w:r>
      <w:r w:rsidRPr="003C50B5">
        <w:rPr>
          <w:rFonts w:ascii="Arial Narrow" w:hAnsi="Arial Narrow" w:cs="Arial"/>
          <w:b/>
        </w:rPr>
        <w:t>kapustkę kwaszoną nadnotecką</w:t>
      </w:r>
      <w:r w:rsidRPr="003C50B5">
        <w:rPr>
          <w:rFonts w:ascii="Arial Narrow" w:hAnsi="Arial Narrow" w:cs="Arial"/>
        </w:rPr>
        <w:t xml:space="preserve"> oraz </w:t>
      </w:r>
      <w:r w:rsidRPr="003C50B5">
        <w:rPr>
          <w:rFonts w:ascii="Arial Narrow" w:hAnsi="Arial Narrow" w:cs="Arial"/>
          <w:b/>
        </w:rPr>
        <w:t>ogórki kiszone nadnoteckie</w:t>
      </w:r>
      <w:r w:rsidRPr="003C50B5">
        <w:rPr>
          <w:rFonts w:ascii="Arial Narrow" w:hAnsi="Arial Narrow" w:cs="Arial"/>
        </w:rPr>
        <w:t xml:space="preserve">. W Janczewie (również gm. Santok) gospodynie przyrządzają  </w:t>
      </w:r>
      <w:r w:rsidRPr="003C50B5">
        <w:rPr>
          <w:rFonts w:ascii="Arial Narrow" w:hAnsi="Arial Narrow" w:cs="Arial"/>
          <w:b/>
        </w:rPr>
        <w:t xml:space="preserve">papierówkę w syropie </w:t>
      </w:r>
      <w:r w:rsidRPr="003C50B5">
        <w:rPr>
          <w:rFonts w:ascii="Arial Narrow" w:hAnsi="Arial Narrow" w:cs="Arial"/>
        </w:rPr>
        <w:t>z owoców zebranych w okolicznych sadach.</w:t>
      </w:r>
      <w:r w:rsidRPr="003C50B5">
        <w:rPr>
          <w:rFonts w:ascii="Arial Narrow" w:hAnsi="Arial Narrow" w:cs="Arial"/>
          <w:b/>
        </w:rPr>
        <w:t xml:space="preserve"> </w:t>
      </w:r>
      <w:r w:rsidRPr="003C50B5">
        <w:rPr>
          <w:rFonts w:ascii="Arial Narrow" w:hAnsi="Arial Narrow" w:cs="Arial"/>
          <w:bCs/>
        </w:rPr>
        <w:t>L</w:t>
      </w:r>
      <w:r w:rsidRPr="003C50B5">
        <w:rPr>
          <w:rFonts w:ascii="Arial Narrow" w:hAnsi="Arial Narrow" w:cs="Arial"/>
        </w:rPr>
        <w:t>okalni miłośnicy pszczół skupiający się w Kole Pszczelarzy w Santoku</w:t>
      </w:r>
      <w:r w:rsidRPr="003C50B5">
        <w:rPr>
          <w:rFonts w:ascii="Arial Narrow" w:hAnsi="Arial Narrow" w:cs="Arial"/>
          <w:b/>
        </w:rPr>
        <w:t xml:space="preserve"> produkują miód wielokwiatowy łąkowy z Doliny Noteci.</w:t>
      </w:r>
      <w:r w:rsidRPr="003C50B5">
        <w:rPr>
          <w:rFonts w:ascii="Arial Narrow" w:hAnsi="Arial Narrow" w:cs="Arial"/>
          <w:bCs/>
        </w:rPr>
        <w:t xml:space="preserve"> Specjałem gminy Kłodawa są</w:t>
      </w:r>
      <w:r w:rsidRPr="003C50B5">
        <w:rPr>
          <w:rFonts w:ascii="Arial Narrow" w:hAnsi="Arial Narrow" w:cs="Arial"/>
          <w:b/>
        </w:rPr>
        <w:t xml:space="preserve"> śliwy w occie </w:t>
      </w:r>
      <w:r w:rsidRPr="003C50B5">
        <w:rPr>
          <w:rFonts w:ascii="Arial Narrow" w:hAnsi="Arial Narrow" w:cs="Arial"/>
        </w:rPr>
        <w:t xml:space="preserve">dodawane do różnych sałatek, wędlin, a także pieczonych i zimnych mięs oraz </w:t>
      </w:r>
      <w:r w:rsidRPr="003C50B5">
        <w:rPr>
          <w:rFonts w:ascii="Arial Narrow" w:hAnsi="Arial Narrow" w:cs="Arial"/>
          <w:b/>
        </w:rPr>
        <w:t xml:space="preserve">szynka z dzika pieczona </w:t>
      </w:r>
      <w:r w:rsidRPr="003C50B5">
        <w:rPr>
          <w:rFonts w:ascii="Arial Narrow" w:hAnsi="Arial Narrow" w:cs="Arial"/>
        </w:rPr>
        <w:t xml:space="preserve"> przygotowywana w Zdroisku niedużej wsi, która położona jest na obszarze zasobnym w owoce runa leśnego i dziką zwierzynę. </w:t>
      </w:r>
      <w:r w:rsidRPr="003C50B5">
        <w:rPr>
          <w:rFonts w:ascii="Arial Narrow" w:hAnsi="Arial Narrow"/>
        </w:rPr>
        <w:t xml:space="preserve"> Również gmina Bogdaniec może się pochwalić kilkoma produktami tradycyjnymi. Należy do nich </w:t>
      </w:r>
      <w:r w:rsidRPr="003C50B5">
        <w:rPr>
          <w:rFonts w:ascii="Arial Narrow" w:hAnsi="Arial Narrow" w:cs="Arial"/>
          <w:b/>
        </w:rPr>
        <w:t>nalewka sosnowa „sosnówka”</w:t>
      </w:r>
      <w:r w:rsidRPr="003C50B5">
        <w:rPr>
          <w:rFonts w:ascii="Arial Narrow" w:hAnsi="Arial Narrow" w:cs="Arial"/>
        </w:rPr>
        <w:t xml:space="preserve">, którą do Łupowa przywieźli mieszkańcy z Kresów Wschodnich. W Łupowie co roku organizowany jest festyn „Zielonej Szyszki”, nawiązujący do okolicznych lasów, którego nieodłącznym elementem jest nalewka sosnówka. Ponadto w gminie Bogdaniec zarejestrowane są dwa miody: </w:t>
      </w:r>
      <w:r w:rsidRPr="003C50B5">
        <w:rPr>
          <w:rFonts w:ascii="Arial Narrow" w:hAnsi="Arial Narrow" w:cs="Arial"/>
          <w:b/>
          <w:bCs/>
        </w:rPr>
        <w:t>miód nektarowo-spadziowy</w:t>
      </w:r>
      <w:r w:rsidRPr="003C50B5">
        <w:rPr>
          <w:rFonts w:ascii="Arial Narrow" w:hAnsi="Arial Narrow" w:cs="Arial"/>
        </w:rPr>
        <w:t xml:space="preserve"> oraz </w:t>
      </w:r>
      <w:r w:rsidRPr="003C50B5">
        <w:rPr>
          <w:rFonts w:ascii="Arial Narrow" w:hAnsi="Arial Narrow" w:cs="Arial"/>
          <w:b/>
          <w:bCs/>
        </w:rPr>
        <w:t>mi</w:t>
      </w:r>
      <w:r w:rsidR="00C35504">
        <w:rPr>
          <w:rFonts w:ascii="Arial Narrow" w:hAnsi="Arial Narrow" w:cs="Arial"/>
          <w:b/>
          <w:bCs/>
        </w:rPr>
        <w:t>ó</w:t>
      </w:r>
      <w:r w:rsidRPr="003C50B5">
        <w:rPr>
          <w:rFonts w:ascii="Arial Narrow" w:hAnsi="Arial Narrow" w:cs="Arial"/>
          <w:b/>
          <w:bCs/>
        </w:rPr>
        <w:t>d wielokwiatowy z Doliny Warty.</w:t>
      </w:r>
      <w:r w:rsidRPr="003C50B5">
        <w:rPr>
          <w:rFonts w:ascii="Arial Narrow" w:hAnsi="Arial Narrow" w:cs="Arial"/>
        </w:rPr>
        <w:t xml:space="preserve">  Ostatnim produktem tradycyjnym na naszym obszarze jest również miód z gminy Lubiszyn zgłoszony pod nazwa  </w:t>
      </w:r>
      <w:r w:rsidRPr="003C50B5">
        <w:rPr>
          <w:rFonts w:ascii="Arial Narrow" w:hAnsi="Arial Narrow" w:cs="Arial"/>
          <w:b/>
          <w:bCs/>
        </w:rPr>
        <w:t xml:space="preserve">„Lubiszyński miód rzepakowy”. </w:t>
      </w:r>
    </w:p>
    <w:p w14:paraId="17B8BD25" w14:textId="77777777" w:rsidR="003C50B5" w:rsidRDefault="003C50B5" w:rsidP="00892740">
      <w:pPr>
        <w:spacing w:line="276" w:lineRule="auto"/>
        <w:ind w:firstLine="0"/>
        <w:rPr>
          <w:rFonts w:ascii="Arial Narrow" w:hAnsi="Arial Narrow" w:cs="Arial"/>
        </w:rPr>
      </w:pPr>
      <w:r w:rsidRPr="003C50B5">
        <w:rPr>
          <w:rFonts w:ascii="Arial Narrow" w:hAnsi="Arial Narrow" w:cs="Arial"/>
        </w:rPr>
        <w:t>Biorąc pod uwagę mnogość produktów regionalnych szczególnie kulinarnych występujących na terenie KST-LGD możemy stwierdzić, że „Kraina” jest istnym rajem dla „łasuchów”.</w:t>
      </w:r>
    </w:p>
    <w:bookmarkEnd w:id="4"/>
    <w:p w14:paraId="253CFDF3" w14:textId="77777777" w:rsidR="00892740" w:rsidRPr="00892740" w:rsidRDefault="00892740" w:rsidP="00892740">
      <w:pPr>
        <w:spacing w:line="276" w:lineRule="auto"/>
        <w:ind w:firstLine="0"/>
        <w:rPr>
          <w:rFonts w:ascii="Arial Narrow" w:hAnsi="Arial Narrow" w:cs="Arial"/>
        </w:rPr>
      </w:pPr>
    </w:p>
    <w:p w14:paraId="2FE70E06" w14:textId="77777777" w:rsidR="003C50B5" w:rsidRPr="003C50B5" w:rsidRDefault="003C50B5" w:rsidP="00892740">
      <w:pPr>
        <w:spacing w:line="276" w:lineRule="auto"/>
        <w:ind w:firstLine="0"/>
        <w:jc w:val="left"/>
        <w:rPr>
          <w:rFonts w:ascii="Arial Narrow" w:hAnsi="Arial Narrow"/>
        </w:rPr>
      </w:pPr>
      <w:r w:rsidRPr="00C35504">
        <w:rPr>
          <w:rFonts w:ascii="Arial Narrow" w:hAnsi="Arial Narrow"/>
          <w:b/>
          <w:color w:val="00B050"/>
        </w:rPr>
        <w:t>II.7 Opis spójności obszaru</w:t>
      </w:r>
    </w:p>
    <w:p w14:paraId="4E11BF3D" w14:textId="77777777" w:rsidR="003C50B5" w:rsidRPr="003C50B5" w:rsidRDefault="003C50B5" w:rsidP="00837361">
      <w:pPr>
        <w:spacing w:line="276" w:lineRule="auto"/>
        <w:ind w:firstLine="0"/>
        <w:rPr>
          <w:rFonts w:ascii="Arial Narrow" w:hAnsi="Arial Narrow"/>
        </w:rPr>
      </w:pPr>
      <w:bookmarkStart w:id="7" w:name="_Hlk135988158"/>
      <w:r w:rsidRPr="003C50B5">
        <w:rPr>
          <w:rFonts w:ascii="Arial Narrow" w:hAnsi="Arial Narrow"/>
        </w:rPr>
        <w:t>Obszar, który został zaplanowany do objęcia LSR jest bardzo atrakcyjny turystycznie, z czego doskonale zdają sobie sprawę władze i mieszkańcy poszczególnych gmin. W każdej gminie turystyka jest ważnym obszarem rozwoju, w który wiele się inwestuje, licząc nie tylko na turystów z Polski, ale również z zagranicy, zwłaszcza z Niemiec, co umożliwia niewielka odległość od naszych zachodnich sąsiadów.  Jednak pomimo tak świetnych warunków środowiskowych potencjał ten jest nadal niedostatecznie wykorzystany. Brakuje plaż zagospodarowanych według współczesnych standardów, nowoczesnych ośrodków wypoczynkowych, ścieżek pieszych i rowerowych, atrakcyjnych szlaków turystycznych, a także większej liczby gospodarstw agroturystycznych. Turyści oczekują też rozrywki i wszelkich atrakcji,</w:t>
      </w:r>
      <w:r w:rsidR="00892740">
        <w:rPr>
          <w:rFonts w:ascii="Arial Narrow" w:hAnsi="Arial Narrow"/>
        </w:rPr>
        <w:t xml:space="preserve"> które uprzyjemniłyby im pobyt.</w:t>
      </w:r>
    </w:p>
    <w:p w14:paraId="19E276CE" w14:textId="77777777" w:rsidR="003C50B5" w:rsidRPr="003C50B5" w:rsidRDefault="003C50B5" w:rsidP="00837361">
      <w:pPr>
        <w:spacing w:line="276" w:lineRule="auto"/>
        <w:ind w:firstLine="0"/>
        <w:rPr>
          <w:rFonts w:ascii="Arial Narrow" w:hAnsi="Arial Narrow"/>
        </w:rPr>
      </w:pPr>
      <w:r w:rsidRPr="003C50B5">
        <w:rPr>
          <w:rFonts w:ascii="Arial Narrow" w:hAnsi="Arial Narrow"/>
        </w:rPr>
        <w:t>Wykorzystanie potencjału przyrodniczego i historycznego oraz nastawienie na turystykę to obszary, gdzie najbardziej widać spójność celów władz i mieszkańców wszystkich gmin, które zostaną objęte LSR. Ze względu na turystyczny charakter obszaru planowanego do objęcia LSR, mieszkańcy i włodarze przyjmują rozwiązania przyjazne dla środowiska, ale też sprzyjające napływowi turystów. Powstają więc toalety przy plażach publicznych, liczne przystanki z wiatami i koszami na śmieci na wyznaczonych szlakach.  Dbanie o środowisko jest na tym obszarze priory</w:t>
      </w:r>
      <w:r w:rsidR="00892740">
        <w:rPr>
          <w:rFonts w:ascii="Arial Narrow" w:hAnsi="Arial Narrow"/>
        </w:rPr>
        <w:t>tetem, ponieważ od niego zależy</w:t>
      </w:r>
      <w:r w:rsidR="00892740">
        <w:rPr>
          <w:rFonts w:ascii="Arial Narrow" w:hAnsi="Arial Narrow"/>
        </w:rPr>
        <w:br/>
      </w:r>
      <w:r w:rsidRPr="003C50B5">
        <w:rPr>
          <w:rFonts w:ascii="Arial Narrow" w:hAnsi="Arial Narrow"/>
        </w:rPr>
        <w:t xml:space="preserve">w dużej mierze dobrobyt społeczeństwa.  </w:t>
      </w:r>
    </w:p>
    <w:p w14:paraId="1FF4890A" w14:textId="77777777" w:rsidR="003C50B5" w:rsidRPr="003C50B5" w:rsidRDefault="003C50B5" w:rsidP="00837361">
      <w:pPr>
        <w:spacing w:line="276" w:lineRule="auto"/>
        <w:ind w:firstLine="0"/>
        <w:rPr>
          <w:rFonts w:ascii="Arial Narrow" w:hAnsi="Arial Narrow"/>
        </w:rPr>
      </w:pPr>
      <w:r w:rsidRPr="003C50B5">
        <w:rPr>
          <w:rFonts w:ascii="Arial Narrow" w:hAnsi="Arial Narrow"/>
        </w:rPr>
        <w:t>Spójność między mieszkańcami wszystkich gmin jest bardzo zauważalna na polu rosnącej aktywizacji społecznej. Mimo tego, że znaczna część mieszkańców to ludność napływowa i nie łączą ich wspólne korzenie to społeczności lokalne angażują się w życie swoich miejscowości. Przede wszystkim zawiązują się formalne lub nieformalne organizacje społeczne, które coraz śmielej sięgają po środki z różnych źródeł i piszą projekty, dzięki którym realizują swoje pomysły z pożytkiem dla ogółu mieszkańców.. Nierzadko są one inicjatorem działań i motywują do ich realizacji swoje władze gminne. Same też podejmują trud pisania wniosków, pozyskiwania funduszy i zaspokajania</w:t>
      </w:r>
      <w:r w:rsidR="00892740">
        <w:rPr>
          <w:rFonts w:ascii="Arial Narrow" w:hAnsi="Arial Narrow"/>
        </w:rPr>
        <w:t xml:space="preserve"> potrzeb lokalnej społeczności. </w:t>
      </w:r>
      <w:r w:rsidRPr="003C50B5">
        <w:rPr>
          <w:rFonts w:ascii="Arial Narrow" w:hAnsi="Arial Narrow"/>
        </w:rPr>
        <w:t>Dzięki wsparciu naszego Stowarzyszenia kilkanaście organizacji i fundacji z terenu objętego aktualną LSR z powodzeniem zakończyło realizację przedsięwzięć, które trwale przyczyniły się do podniesienia poziomu życia mieszkańców. Organizacje społeczne z całego obszaru są bardzo zaangażowane i chciałyby wiele zrobić, ale wymagają pomocy przy pisaniu, realizacji i rozliczaniu projektów. Często nie wiedzą, gdzie  i jak można aplikować o fundusze. Takie wsparcie otrzymują w naszym Stowarzyszeniu. Widzimy, że na ten moment brakuje na naszym obszarze dobrze działającej sieci organizacji pozarządowych, które mogłyby dzielić się swoimi doświadczeniami, wspierać się w trudnych sytuacjach, a być może także podejmować wspólne inicjatywy.</w:t>
      </w:r>
    </w:p>
    <w:p w14:paraId="033A1410" w14:textId="77777777" w:rsidR="003C50B5" w:rsidRPr="003C50B5" w:rsidRDefault="003C50B5" w:rsidP="00837361">
      <w:pPr>
        <w:spacing w:line="276" w:lineRule="auto"/>
        <w:ind w:firstLine="0"/>
        <w:rPr>
          <w:rFonts w:ascii="Arial Narrow" w:hAnsi="Arial Narrow"/>
        </w:rPr>
      </w:pPr>
      <w:r w:rsidRPr="003C50B5">
        <w:rPr>
          <w:rFonts w:ascii="Arial Narrow" w:hAnsi="Arial Narrow"/>
        </w:rPr>
        <w:t xml:space="preserve">Aktywność społeczeństwa przejawia się również w rosnącej tendencji do podejmowania własnej działalności gospodarczej. Często jest to działalność związana z usługami turystycznymi lub okołoturystycznymi, które są bardzo pożądane i ważne dla rozwoju turystyki na tym terenie. Świadczy to o tym, że obszar planowany do objęcia LSR ma duży potencjał gospodarczy i duże możliwości dalszego rozwoju w wielu kierunkach. Obszar planowany do objęcia LSR stawia też na innowacyjne rozwiązania zwłaszcza w biznesie. Jest to bardzo wyraźna tendencja wśród obecnych i przyszłych przedsiębiorców. W dotychczasowych naborach wniosków na rozwój lub podejmowanie działalności gospodarczej wskaźnik innowacyjności </w:t>
      </w:r>
      <w:r w:rsidRPr="003C50B5">
        <w:rPr>
          <w:rFonts w:ascii="Arial Narrow" w:hAnsi="Arial Narrow"/>
        </w:rPr>
        <w:lastRenderedPageBreak/>
        <w:t xml:space="preserve">stale wzrasta. Można się spodziewać, że w przyszłym okresie programowania będzie on nadal rosnąć, gdyż takie są wymogi współczesnego świata. Przedsiębiorcy zdają sobie sprawę, że stawiając na innowacyjność zyskują przewagę nad konkurencją. Zaspokajają w ten sposób wciąż rosnące potrzeby konsumentów. W branży turystycznej, która jest dominującą na tym terenie,  nie wystarczy już mieć zwyczajny hotel czy pensjonat, trzeba mieć hotel na wodzie. Turyści oczekują dodatkowych usług więc przedsiębiorcy z przyszłego obszaru LSR starają się  im to zapewnić poprzez np. łodzie </w:t>
      </w:r>
      <w:proofErr w:type="spellStart"/>
      <w:r w:rsidRPr="003C50B5">
        <w:rPr>
          <w:rFonts w:ascii="Arial Narrow" w:hAnsi="Arial Narrow"/>
        </w:rPr>
        <w:t>eventowe</w:t>
      </w:r>
      <w:proofErr w:type="spellEnd"/>
      <w:r w:rsidRPr="003C50B5">
        <w:rPr>
          <w:rFonts w:ascii="Arial Narrow" w:hAnsi="Arial Narrow"/>
        </w:rPr>
        <w:t>, grille na wodzie, budowę saun zewnętrznych, wycieczki kładami i inne.  Pomysłowość ludzi interesu nie ma granic. Ograniczeniem są jedynie pieniądze. Jednakże, gdy mogą sięgnąć po środki unijne za pośrednictwem Lokalnej Grupy Działania ilość przedsięwzięć innowacyjnych wzrasta  nie tylko w branży turystycznej. Powstają firmy oferujące unikatowe usługi na skalę nie tylko obszaru LSR, ale też województwa. Zauważamy też wyraźny trend w dziedzinie produktów ekologicznych, które są coraz bardziej poszukiwane. Przedsiębiorcy, stawiający na innowacyjne rozwiązania, szybko reagują na potrzeby rynku w tym zakresie. Jedni proponują usługi oparte na ekologicznych kosmetykach, inni zamierzają produkować własne sery czy wina. Biorąc to wszystko pod uwagę, należy stwierdzić, że innowacyjność będzie jednym  z priorytetów w latach 2021-2027.</w:t>
      </w:r>
    </w:p>
    <w:p w14:paraId="66204B9A" w14:textId="77777777" w:rsidR="003C50B5" w:rsidRPr="003C50B5" w:rsidRDefault="003C50B5" w:rsidP="00837361">
      <w:pPr>
        <w:spacing w:line="276" w:lineRule="auto"/>
        <w:ind w:firstLine="0"/>
        <w:rPr>
          <w:rFonts w:ascii="Arial Narrow" w:hAnsi="Arial Narrow"/>
        </w:rPr>
      </w:pPr>
      <w:r w:rsidRPr="003C50B5">
        <w:rPr>
          <w:rFonts w:ascii="Arial Narrow" w:hAnsi="Arial Narrow"/>
        </w:rPr>
        <w:t xml:space="preserve">Dotychczasowa działalność Stowarzyszenia KST-LGD nie byłaby możliwa bez współpracy z gminami, instytucjami i organizacjami społecznymi. Realizacja obecnej LSR oparta jest na szerokich konsultacjach społecznych z mieszkańcami i władzami gminnymi, organizacjami społecznymi i przedsiębiorcami. Dzięki temu zostały zrealizowane liczne przedsięwzięcia w zakresie rozwoju lub podejmowania działalności gospodarczej, infrastruktury turystycznej lub rekreacyjnej lub kulturalnej oraz działania promocyjne i informacyjne. Nasza współpraca z gminami układa się bardzo dobrze. Włodarze wszystkich gmin należących do obecnego i przyszłego obszaru LSR znają się osobiście. Na wspólnych  spotkaniach potrafią otwarcie rozmawiać o sukcesach i problemach czy wymieniać się informacjami. Widoczna jest chęć współpracy, w dużej mierze wynikająca z przynależności do obszaru, który zostanie objęty przyszłą LSR. Mamy pełne poparcie gmin we wszystkich naszych działaniach, ponieważ władze gminne mają świadomość, że przyniesie to korzyści mieszkańcom i przyczyni się do rozwoju regionu. Również z naszej strony włodarze mogą liczyć na pomoc i wsparcie w realizacji swoich projektów. </w:t>
      </w:r>
    </w:p>
    <w:p w14:paraId="00015015" w14:textId="77777777" w:rsidR="003C50B5" w:rsidRPr="003C50B5" w:rsidRDefault="003C50B5" w:rsidP="00837361">
      <w:pPr>
        <w:spacing w:line="276" w:lineRule="auto"/>
        <w:ind w:firstLine="0"/>
        <w:rPr>
          <w:rFonts w:ascii="Arial Narrow" w:hAnsi="Arial Narrow"/>
        </w:rPr>
      </w:pPr>
      <w:r w:rsidRPr="003C50B5">
        <w:rPr>
          <w:rFonts w:ascii="Arial Narrow" w:hAnsi="Arial Narrow"/>
        </w:rPr>
        <w:t>Problem starzenia się społeczeństwa i jego konsekwencje dotyczą całej Polski, a więc i obszaru planowanego do objęcia LSR. Z prognoz demograficznych GUS wynika, że w Polsce w 2050 r. udział osób w wieku produkcyjnym w populacji wyniesie 57%, w wieku powyżej 65 roku życia – aż 32,7%, natomiast w wieku przedprodukcyjnym – niecałe 11%. Stąd bardzo ważnym wyzwaniem jest  z jednej strony zapewnienie odpowiedniej opieki osobom w podeszłym wieku, z drugiej  aktywna polityka, której celem jest aktywizacja osób 50+, aby jak najdłużej pozostawały one aktywne zawodowo.</w:t>
      </w:r>
    </w:p>
    <w:p w14:paraId="4D69E6C8" w14:textId="77777777" w:rsidR="003C50B5" w:rsidRPr="003C50B5" w:rsidRDefault="003C50B5" w:rsidP="00837361">
      <w:pPr>
        <w:spacing w:line="276" w:lineRule="auto"/>
        <w:ind w:firstLine="0"/>
        <w:rPr>
          <w:rFonts w:ascii="Arial Narrow" w:hAnsi="Arial Narrow"/>
        </w:rPr>
      </w:pPr>
      <w:r w:rsidRPr="003C50B5">
        <w:rPr>
          <w:rFonts w:ascii="Arial Narrow" w:hAnsi="Arial Narrow"/>
        </w:rPr>
        <w:t>W wielu gminach naszego obszaru istnieją Domy Pomocy Społecznej, Zakłady Opiekuńczo – Lecznicze,  Środowiskowe Domy Samopomocy, istnieją też Ośrodki Pomocy Społecznej. Wydaje się jednak, że to za mało. Starsze osoby najczęściej pozostają „zamknięte” w domach. Nie organizuje się dla nich żadnych zajęć, warsztatów, wyjazdów, albo chociażby zwyczajnych spotkań przy herbacie. Na tym polu jest jeszcze bardzo dużo do zrobienia, zwłaszcza jeśli chodzi o zmianę świadomości społeczeństwa, które w ostatnim czasie, w dobie pandemii „zamknęło” się na świat i wypadło z życia społecznego.</w:t>
      </w:r>
    </w:p>
    <w:p w14:paraId="16BBD900" w14:textId="77777777" w:rsidR="002F1917" w:rsidRDefault="003C50B5" w:rsidP="002F1917">
      <w:pPr>
        <w:spacing w:after="120"/>
        <w:ind w:firstLine="0"/>
        <w:rPr>
          <w:rFonts w:ascii="Arial Narrow" w:hAnsi="Arial Narrow"/>
        </w:rPr>
      </w:pPr>
      <w:r w:rsidRPr="003C50B5">
        <w:rPr>
          <w:rFonts w:ascii="Arial Narrow" w:hAnsi="Arial Narrow"/>
        </w:rPr>
        <w:t>Innym aspektem starzenia się społeczeństwa są nieuchronne zmiany na rynku pracy. Bardzo ważnym zadaniem staje się zarządzanie wiekiem, które zwiększa szanse na zatrudnienie starzejących się kobiet i mężczyzn, pomaga w przedłużaniu aktywności zawodowej osób 50+ i pozwala zapewnić równe szanse pracownikom w różnym wieku. W ostatnich latach na polskim rynku pracy i w naszym regionie  obserwujemy wzrostu aktywności zawodowej osób w wieku 50+. Praca w tej grupie wiekowej jest ważna z powodów ekonomicznych: starsze osoby pracujące żyją w gospodarstwach o niższym dochodzie, często mając ważny wkład w utrzymanie rodziny. Stąd należy zwiększać świadomość pracodawców i zachęcać ich do zatrudniania osób starszych oraz promować wśród osób młodych potrzebę współpracy ze starszą, bardziej doświadczoną</w:t>
      </w:r>
      <w:r w:rsidR="00276AC5">
        <w:rPr>
          <w:rFonts w:ascii="Arial Narrow" w:hAnsi="Arial Narrow"/>
        </w:rPr>
        <w:t>.</w:t>
      </w:r>
      <w:bookmarkEnd w:id="7"/>
    </w:p>
    <w:p w14:paraId="37652381" w14:textId="42D01378" w:rsidR="002F1917" w:rsidRPr="00D11639" w:rsidRDefault="002F1917" w:rsidP="002F1917">
      <w:pPr>
        <w:spacing w:after="120"/>
        <w:ind w:firstLine="0"/>
        <w:rPr>
          <w:b/>
          <w:bCs/>
          <w:color w:val="00B050"/>
          <w:sz w:val="24"/>
          <w:szCs w:val="24"/>
        </w:rPr>
      </w:pPr>
      <w:r w:rsidRPr="00D11639">
        <w:rPr>
          <w:rFonts w:ascii="Arial Narrow" w:hAnsi="Arial Narrow"/>
          <w:color w:val="00B050"/>
        </w:rPr>
        <w:t xml:space="preserve">Tekst </w:t>
      </w:r>
      <w:proofErr w:type="spellStart"/>
      <w:r w:rsidRPr="00D11639">
        <w:rPr>
          <w:rFonts w:ascii="Arial Narrow" w:hAnsi="Arial Narrow"/>
          <w:color w:val="00B050"/>
        </w:rPr>
        <w:t>niny</w:t>
      </w:r>
      <w:proofErr w:type="spellEnd"/>
    </w:p>
    <w:p w14:paraId="3F80966A"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Obszar, który obejmuje LSR, położony jest na Pojezierzu Lubuskim, na Równinie Torzymskiej i w Kotlinie Gorzowskiej, stanowiących część makroregionu geograficznego zwanego Pradoliną Toruńsko - </w:t>
      </w:r>
      <w:proofErr w:type="spellStart"/>
      <w:r w:rsidRPr="002F1917">
        <w:rPr>
          <w:rFonts w:asciiTheme="minorHAnsi" w:hAnsiTheme="minorHAnsi"/>
          <w:color w:val="00B050"/>
          <w:sz w:val="24"/>
          <w:szCs w:val="24"/>
        </w:rPr>
        <w:t>Eberswaldzką</w:t>
      </w:r>
      <w:proofErr w:type="spellEnd"/>
      <w:r w:rsidRPr="002F1917">
        <w:rPr>
          <w:rFonts w:asciiTheme="minorHAnsi" w:hAnsiTheme="minorHAnsi"/>
          <w:color w:val="00B050"/>
          <w:sz w:val="24"/>
          <w:szCs w:val="24"/>
        </w:rPr>
        <w:t xml:space="preserve">. Teren jest urozmaicony od równin sandrowych po liczne pofałdowania, takie jak wysoczyzny morenowe z przewagą wzgórz sandrowych, wały, doliny, wąwozy. </w:t>
      </w:r>
    </w:p>
    <w:p w14:paraId="431729F0"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Drugą ważną cechą tego terenu są rzeki i jeziora rynnowe występujące na całym obszarze w dużej liczbie. Wśród rzek wymienić należy te największe, czyli Postomię w gminie Krzeszyce i Sulęcin, Pliszkę w gminie Torzym i Myślę w gminie Lubiszyn. Natomiast jezior na wskazanym obszarze jest znacznie więcej i stanowią one niewątpliwie największe bogactwo i ozdobę tego regionu. Największe jest </w:t>
      </w:r>
      <w:r w:rsidRPr="002F1917">
        <w:rPr>
          <w:rFonts w:asciiTheme="minorHAnsi" w:hAnsiTheme="minorHAnsi"/>
          <w:color w:val="00B050"/>
          <w:sz w:val="24"/>
          <w:szCs w:val="24"/>
        </w:rPr>
        <w:lastRenderedPageBreak/>
        <w:t xml:space="preserve">jezioro </w:t>
      </w:r>
      <w:proofErr w:type="spellStart"/>
      <w:r w:rsidRPr="002F1917">
        <w:rPr>
          <w:rFonts w:asciiTheme="minorHAnsi" w:hAnsiTheme="minorHAnsi"/>
          <w:color w:val="00B050"/>
          <w:sz w:val="24"/>
          <w:szCs w:val="24"/>
        </w:rPr>
        <w:t>Marwicko</w:t>
      </w:r>
      <w:proofErr w:type="spellEnd"/>
      <w:r w:rsidRPr="002F1917">
        <w:rPr>
          <w:rFonts w:asciiTheme="minorHAnsi" w:hAnsiTheme="minorHAnsi"/>
          <w:color w:val="00B050"/>
          <w:sz w:val="24"/>
          <w:szCs w:val="24"/>
        </w:rPr>
        <w:t xml:space="preserve"> w gminie Lubiszyn, kolejne pod tym względem jest jezioro Glinik w gminie Deszczno, a następnie, o porównywalnej powierzchni, jeziora Krzywe w gminie Torzym oraz </w:t>
      </w:r>
      <w:proofErr w:type="spellStart"/>
      <w:r w:rsidRPr="002F1917">
        <w:rPr>
          <w:rFonts w:asciiTheme="minorHAnsi" w:hAnsiTheme="minorHAnsi"/>
          <w:color w:val="00B050"/>
          <w:sz w:val="24"/>
          <w:szCs w:val="24"/>
        </w:rPr>
        <w:t>Jarnatowskie</w:t>
      </w:r>
      <w:proofErr w:type="spellEnd"/>
      <w:r w:rsidRPr="002F1917">
        <w:rPr>
          <w:rFonts w:asciiTheme="minorHAnsi" w:hAnsiTheme="minorHAnsi"/>
          <w:color w:val="00B050"/>
          <w:sz w:val="24"/>
          <w:szCs w:val="24"/>
        </w:rPr>
        <w:t xml:space="preserve"> w gminie Lubniewice. Jednak żadne z tych jezior nie dorówna głębokości jeziora Krajnik w gminie Lubniewice. </w:t>
      </w:r>
    </w:p>
    <w:p w14:paraId="6AB0B653"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Cały obszar jest mocno zalesiony; przeważają bory sosnowe oraz połacie z dominacją buka. Lasy wraz z całym ekosystemem sprawiają, że obszar planowy do objęcia LSR jest jednym z najczystszych regionów Polski. Znaczące jest również to, że najpiękniejsze i najcenniejsze walory przyrodnicze i krajobrazowe chronione są poprzez utworzone rezerwaty (Janie im. Włodzimierza Korsaka, Bagno Chłopiny i Buki </w:t>
      </w:r>
      <w:proofErr w:type="spellStart"/>
      <w:r w:rsidRPr="002F1917">
        <w:rPr>
          <w:rFonts w:asciiTheme="minorHAnsi" w:hAnsiTheme="minorHAnsi"/>
          <w:color w:val="00B050"/>
          <w:sz w:val="24"/>
          <w:szCs w:val="24"/>
        </w:rPr>
        <w:t>Zdroiskie</w:t>
      </w:r>
      <w:proofErr w:type="spellEnd"/>
      <w:r w:rsidRPr="002F1917">
        <w:rPr>
          <w:rFonts w:asciiTheme="minorHAnsi" w:hAnsiTheme="minorHAnsi"/>
          <w:color w:val="00B050"/>
          <w:sz w:val="24"/>
          <w:szCs w:val="24"/>
        </w:rPr>
        <w:t xml:space="preserve">), parki krajobrazowe (Łagowsko - Sulęciński Park Krajobrazowy), zespoły przyrodniczo-krajobrazowe (Uroczysko </w:t>
      </w:r>
      <w:proofErr w:type="spellStart"/>
      <w:r w:rsidRPr="002F1917">
        <w:rPr>
          <w:rFonts w:asciiTheme="minorHAnsi" w:hAnsiTheme="minorHAnsi"/>
          <w:color w:val="00B050"/>
          <w:sz w:val="24"/>
          <w:szCs w:val="24"/>
        </w:rPr>
        <w:t>Ośniańskich</w:t>
      </w:r>
      <w:proofErr w:type="spellEnd"/>
      <w:r w:rsidRPr="002F1917">
        <w:rPr>
          <w:rFonts w:asciiTheme="minorHAnsi" w:hAnsiTheme="minorHAnsi"/>
          <w:color w:val="00B050"/>
          <w:sz w:val="24"/>
          <w:szCs w:val="24"/>
        </w:rPr>
        <w:t xml:space="preserve"> Jezior, Uroczysko </w:t>
      </w:r>
      <w:proofErr w:type="spellStart"/>
      <w:r w:rsidRPr="002F1917">
        <w:rPr>
          <w:rFonts w:asciiTheme="minorHAnsi" w:hAnsiTheme="minorHAnsi"/>
          <w:color w:val="00B050"/>
          <w:sz w:val="24"/>
          <w:szCs w:val="24"/>
        </w:rPr>
        <w:t>Lubniewsko</w:t>
      </w:r>
      <w:proofErr w:type="spellEnd"/>
      <w:r w:rsidRPr="002F1917">
        <w:rPr>
          <w:rFonts w:asciiTheme="minorHAnsi" w:hAnsiTheme="minorHAnsi"/>
          <w:color w:val="00B050"/>
          <w:sz w:val="24"/>
          <w:szCs w:val="24"/>
        </w:rPr>
        <w:t xml:space="preserve">), obszary chronionego krajobrazu (np. Dolina Ilanki, Puszcza nad Pliszką, Puszcza Barlinecka), liczne pomniki przyrody i obszary Natura 2000. </w:t>
      </w:r>
    </w:p>
    <w:p w14:paraId="184F7BB3"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Historycznie teren ten związany jest z bractwami rycerskimi i możnymi rodami niemieckimi, co daje się zauważyć niemal w każdej miejscowości. Do najliczniejszych budowli architektonicznych o charakterze zabytkowym należą obiekty sakralne, z których najstarsze są kościoły św. Jakuba w Ośnie Lubuskim z 1298 roku oraz późnoromański kościół w Marwicach z połowy XIII w. w gminie Lubiszyn. Nie brakuje także zamków i pałaców, wśród których wyróżniają się pałac w Jarnatowie, pałac w Gliśnie oraz pałac w Rogach (Gmina Lubniewice). Nie brakuje też innych pozostałości burzliwej historii tego regionu. Należą do nich mury obronne z XV w. w Ośnie Lubuskim, stożkowate grodzisko z XIII – XIV w. na szczycie Sokolej Góry w Santoku, młyn z XIX w. w Bogdańcu, w którym obecnie znajduje się Muzeum Kultury i Techniki Wiejskiej. </w:t>
      </w:r>
    </w:p>
    <w:p w14:paraId="3C494AEF"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Wszystko to sprawia, że obszar, który został zaplanowany do objęcia LSR, jest bardzo atrakcyjny turystycznie, z czego doskonale zdają sobie sprawę władze i mieszkańcy poszczególnych gmin. Maksymalne wykorzystanie możliwości przyrodniczego i historycznego bogactwa regionu oraz nastawienie na </w:t>
      </w:r>
      <w:proofErr w:type="spellStart"/>
      <w:r w:rsidRPr="002F1917">
        <w:rPr>
          <w:rFonts w:asciiTheme="minorHAnsi" w:hAnsiTheme="minorHAnsi"/>
          <w:color w:val="00B050"/>
          <w:sz w:val="24"/>
          <w:szCs w:val="24"/>
        </w:rPr>
        <w:t>rozkiwt</w:t>
      </w:r>
      <w:proofErr w:type="spellEnd"/>
      <w:r w:rsidRPr="002F1917">
        <w:rPr>
          <w:rFonts w:asciiTheme="minorHAnsi" w:hAnsiTheme="minorHAnsi"/>
          <w:color w:val="00B050"/>
          <w:sz w:val="24"/>
          <w:szCs w:val="24"/>
        </w:rPr>
        <w:t xml:space="preserve"> turystyki to płaszczyzny, na których najbardziej uwidacznia się spójność celów władz i mieszkańców wszystkich gmin, które zostaną objęte LSR. </w:t>
      </w:r>
    </w:p>
    <w:p w14:paraId="62CC828C"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W każdej gminie członkowskiej KST-LGD turystyka jest ważnym obszarem rozwoju, w który wiele się inwestuje, licząc nie tylko na turystów z Polski, ale również z zagranicy, zwłaszcza z Niemiec, co umożliwia niewielka odległość od naszych zachodnich sąsiadów. Jednak pomimo tak świetnych warunków środowiskowych, potencjał ten jest nadal niedostatecznie wykorzystany. Brakuje plaż zagospodarowanych według współczesnych standardów, nowoczesnych ośrodków wypoczynkowych, ścieżek pieszych i rowerowych, atrakcyjnych szlaków turystycznych, a także większej liczby gospodarstw agroturystycznych. Turyści oczekują także rozbudowanej oferty kulturalnej i rozrywki oraz różnorodnych atrakcji, które uprzyjemniłyby im pobyt. </w:t>
      </w:r>
    </w:p>
    <w:p w14:paraId="5AB918E3"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Kolejną sferą, w której widać zbieżność interesów mieszkańców wszystkich gmin, jest rosnąca aktywizacja społeczna w wielu dziedzinach. Mimo tego, że znaczna część mieszkańców to ludność napływowa i nie łączą ich wspólne korzenie, to społeczności lokalne angażują się w życie swoich miejscowości. Przede wszystkim zawiązują się formalne lub nieformalne organizacje społeczne, które coraz śmielej sięgają po środki z różnych źródeł, dzięki którym realizują swoje pomysły z pożytkiem dla ogółu. </w:t>
      </w:r>
    </w:p>
    <w:p w14:paraId="09FCA91D"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Aktywność społeczeństwa przejawia się również w rosnącej tendencji do podejmowania własnej działalności gospodarczej. Często jest ona związana z usługami turystycznymi lub okołoturystycznymi, które są bardzo pożądane i ważne dla rozwoju turystyki na tym terenie. Świadczy to o tym, że obszar planowany do objęcia LSR ma duży potencjał gospodarczy i duże możliwości dalszego rozwoju w wielu kierunkach. </w:t>
      </w:r>
    </w:p>
    <w:p w14:paraId="3CF07F8C"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Obszar tak cenny pod względem bogactw naturalnych wymaga podjęcia działań związanych z ich ochroną. Poza oczywistym zabezpieczeniem cennych ekosystemów, krajobrazów, obiektów przyrodniczych ważne jest wprowadzanie skutecznych działań w tym zakresie na poziomie każdej gminy i każdego gospodarstwa domowego. Wszystkie gminy z naszego terenu podejmują szerokie działania proekologiczne, mające na celu zachowanie dziedzictwa przyrodniczego. Każda z gmina ma w budżecie wyodrębnione środki na realizację projektów klimatyczno-środowiskowych, dlatego </w:t>
      </w:r>
      <w:r w:rsidRPr="002F1917">
        <w:rPr>
          <w:rFonts w:asciiTheme="minorHAnsi" w:hAnsiTheme="minorHAnsi"/>
          <w:color w:val="00B050"/>
          <w:sz w:val="24"/>
          <w:szCs w:val="24"/>
        </w:rPr>
        <w:lastRenderedPageBreak/>
        <w:t xml:space="preserve">powstaje wiele instalacji wykorzystujących odnawialne źródła energii, również w infrastrukturze gminnej (np. latarnie zasilane bateriami słonecznymi). Coraz częściej zastępuje się istniejące źródła wytwarzania energii źródłami niskoemisyjnymi oraz modernizuje się sieci dystrybucji ciepła, aby ograniczyć straty ciepła. Ważnym elementem działań proekologicznych jest gospodarka odpadami, a szczególnie propagowanie segregacji odpadów i edukacja społeczeństwa w tym zakresie. Na tym polu każda z gmin ma coraz lepsze wyniki, niemniej jednak nadal jeszcze konieczne jest większe zaangażowanie mieszkańców w działania </w:t>
      </w:r>
      <w:proofErr w:type="spellStart"/>
      <w:r w:rsidRPr="002F1917">
        <w:rPr>
          <w:rFonts w:asciiTheme="minorHAnsi" w:hAnsiTheme="minorHAnsi"/>
          <w:color w:val="00B050"/>
          <w:sz w:val="24"/>
          <w:szCs w:val="24"/>
        </w:rPr>
        <w:t>proklimatyczne</w:t>
      </w:r>
      <w:proofErr w:type="spellEnd"/>
      <w:r w:rsidRPr="002F1917">
        <w:rPr>
          <w:rFonts w:asciiTheme="minorHAnsi" w:hAnsiTheme="minorHAnsi"/>
          <w:color w:val="00B050"/>
          <w:sz w:val="24"/>
          <w:szCs w:val="24"/>
        </w:rPr>
        <w:t xml:space="preserve"> i zachęcanie do inwestowania w rozwiązania sprzyjające środowisku. Ze względu na turystyczny charakter obszaru planowanego do objęcia LSR, mieszkańcy i włodarze przyjmują rozwiązania przyjazne dla środowiska, ale też sprzyjające napływowi turystów. Powstają więc toalety przy plażach publicznych, liczne przystanki z wiatami i koszami na śmieci na wyznaczonych szlakach. Dbanie o środowisko jest na tym obszarze priorytetem, ponieważ od niego zależy w dużej mierze dobrobyt społeczeństwa. </w:t>
      </w:r>
    </w:p>
    <w:p w14:paraId="7159F8AB"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Obszar planowany do objęcia LSR stawia też na innowacyjne rozwiązania zwłaszcza w biznesie. Jest to bardzo wyraźna tendencja wśród obecnych i przyszłych przedsiębiorców. W dotychczasowych naborach wniosków na rozwój lub podejmowanie działalności gospodarczej wskaźnik innowacyjności stale wzrasta. Można się spodziewać, że w przyszłym okresie programowania będzie on nadal rosnąć, gdyż takie są wymogi współczesnego świata. Przedsiębiorcy zdają sobie sprawę, że stawiając na innowacyjność, zyskują przewagę nad konkurencją. Zaspokajają w ten sposób wciąż rosnące potrzeby konsumentów. W branży turystycznej, która jest dominującą na tym terenie, można się wybić otwierając np. hotel na wodzie. Turyści oczekują dodatkowych usług, więc przedsiębiorcy starają się im to zapewnić poprzez np. łodzie </w:t>
      </w:r>
      <w:proofErr w:type="spellStart"/>
      <w:r w:rsidRPr="002F1917">
        <w:rPr>
          <w:rFonts w:asciiTheme="minorHAnsi" w:hAnsiTheme="minorHAnsi"/>
          <w:color w:val="00B050"/>
          <w:sz w:val="24"/>
          <w:szCs w:val="24"/>
        </w:rPr>
        <w:t>eventowe</w:t>
      </w:r>
      <w:proofErr w:type="spellEnd"/>
      <w:r w:rsidRPr="002F1917">
        <w:rPr>
          <w:rFonts w:asciiTheme="minorHAnsi" w:hAnsiTheme="minorHAnsi"/>
          <w:color w:val="00B050"/>
          <w:sz w:val="24"/>
          <w:szCs w:val="24"/>
        </w:rPr>
        <w:t xml:space="preserve">, grille na wodzie, budowę saun zewnętrznych, wycieczki kładami i inne. Powstają firmy oferujące unikatowe usługi na skalę nie tylko obszaru LSR, ale też województwa. Zauważalny jest też wyraźny popyt na ekologiczne produkty regionalne, który starają się zaspokoić innowacyjni przedsiębiorcy dynamicznie reagujący na zmiany na rynku. Jedni proponują usługi oparte na ekologicznych kosmetykach, inni zamierzają produkować własne sery czy wina. Biorąc to wszystko pod uwagę, należy stwierdzić, że innowacyjność będzie jednym z priorytetów w latach 2021-2027. </w:t>
      </w:r>
    </w:p>
    <w:p w14:paraId="23A5BE05"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Ważnym obszarem do podejmowania działań jest ucyfrowienie i możliwość korzystania z e-usług. Cyfryzacja stwarza szanse na polepszenie jakości życia mieszkańców w szerokim zakresie. Instytucje, w tym gminy, doskonale zdają sobie z tego sprawę i dlatego kładą nacisk na postęp w procesie cyfryzacji i podnoszenia poziomu kompetencji cyfrowych. Już teraz zakres formalności, które można załatwić zdalnie, jest bardzo duży. Jak pokazują dane zebrane z urzędów gmin przyszłego obszaru LSR, coraz więcej osób korzysta z e-usług, które dają możliwość załatwienia wielu czynności urzędowych bez wychodzenia z domu. Jednak, aby móc skorzystać z tych możliwości, trzeba posiadać kompetencje cyfrowe na odpowiednio wysokim poziomie. Nie wystarczy tylko umiejętność obsługi komputera, ale konieczne jest poruszanie się w przestrzeni Internetu, a zwłaszcza sprawne wyszukiwanie i selekcja niezbędnych informacji. Pomimo rosnącego zainteresowania e-usługami, nadal nie jest on zadawalający. Konieczna jest gruntowna edukacja społeczeństwa w zakresie podnoszenia kompetencji cyfrowych, zwłaszcza wśród osób starszych, oraz przełamanie oporu wobec nowoczesnych technologii. Jest to wspólny obszar działania dla całego terenu przyszłej LSR, tak więc cyfryzacja stanowi ważny element rozwoju tego regionu. </w:t>
      </w:r>
    </w:p>
    <w:p w14:paraId="28779012"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Dotychczasowa działalność Stowarzyszenia KST-LGD nie byłaby możliwa bez współdziałania z gminami, instytucjami i organizacjami społecznymi. Realizacja obecnej LSR oparta jest na wnikliwych konsultacjach społecznych z mieszkańcami i władzami gminnymi, organizacjami społecznymi i przedsiębiorcami. Dzięki temu zostały zrealizowane liczne przedsięwzięcia w zakresie rozwoju lub podejmowania działalności gospodarczej, infrastruktury turystycznej lub rekreacyjnej, lub kulturalnej oraz działania promocyjne i informacyjne. Współpraca Stowarzyszenia z gminami układa się bardzo dobrze: włodarze wszystkich gmin należących do obecnego i przyszłego obszaru LSR znają się osobiście, na wspólnych spotkaniach potrafią otwarcie rozmawiać o sukcesach i problemach oraz wymieniać się informacjami. Widoczna jest chęć kooperacji, w dużej mierze wynikająca z przynależności do obszaru, który zostanie objęty przyszłą LSR. KST-LGD jest w pełni popierane przez </w:t>
      </w:r>
      <w:r w:rsidRPr="002F1917">
        <w:rPr>
          <w:rFonts w:asciiTheme="minorHAnsi" w:hAnsiTheme="minorHAnsi"/>
          <w:color w:val="00B050"/>
          <w:sz w:val="24"/>
          <w:szCs w:val="24"/>
        </w:rPr>
        <w:lastRenderedPageBreak/>
        <w:t xml:space="preserve">gminy we wszystkich działaniach, ponieważ władze gminne mają świadomość, że przyniesie to korzyści mieszkańcom i przyczyni się do rozwoju regionu. Wsparcie jest obustronne, gdyż włodarze mogą liczyć na pomoc Stowarzyszenia w realizacji swoich projektów. </w:t>
      </w:r>
    </w:p>
    <w:p w14:paraId="0DDEDC9B"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Dużą rolę na obszarze przyszłej LSR odgrywają formalne i nieformalne organizacje społeczne. To one są inicjatorami wielu pomysłów i motywują do ich realizacji władze gminne. Same też podejmują trud sporządzania wniosków i pozyskiwania funduszy niezbędnych do zaspokojenia potrzeb lokalnej społeczności. Dzięki wsparciu Stowarzyszenia kilkanaście organizacji i fundacji z terenu objętego aktualną LSR z powodzeniem zakończyło realizację przedsięwzięć, które trwale przyczyniły się do podniesienia poziomu życia mieszkańców. Organizacje społeczne z całego obszaru są bardzo zaangażowane i przedstawiają nowe pomysły, jednak wymagają pomocy przy pisaniu, realizacji i rozliczaniu projektów. Często nie wiedzą, gdzie i jak można aplikować o fundusze. Takie wsparcie otrzymują w naszym Stowarzyszeniu. Na ten moment na obszarze objętym LSR zauważalny jest brak dobrze działającej sieci organizacji pozarządowych, które mogłyby dzielić się swoimi doświadczeniami, wspierać się w trudnych sytuacjach i podejmować wspólne inicjatywy. </w:t>
      </w:r>
    </w:p>
    <w:p w14:paraId="39C1E686"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Problem starzenia się społeczeństwa i jego konsekwencje dotyczą całej Polski, a więc i obszaru planowanego do objęcia LSR. Z prognoz demograficznych GUS wynika, że w Polsce w 2050 r. udział osób w wieku produkcyjnym w populacji wyniesie 57%, w wieku powyżej 65 roku życia – aż 32,7%, natomiast w wieku przedprodukcyjnym – niecałe 11%. Stąd ważnym wyzwaniem jest z jednej strony zapewnienie odpowiedniej opieki osobom w podeszłym wieku, z drugiej aktywna polityka, której celem jest aktywizacja osób 50+, aby jak najdłużej pozostawały one czynne zawodowo. </w:t>
      </w:r>
    </w:p>
    <w:p w14:paraId="5EB56FB4"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W wielu gminach naszego obszaru istnieją Domy Pomocy Społecznej, Zakłady Opiekuńczo – Lecznicze, Środowiskowe Domy Samopomocy oraz Ośrodki Pomocy Społecznej. Liczba miejsc, którymi dysponują, oraz aktualna oferta świadczonych usług nie zaspokaja jednak wszystkich potrzeb mieszkańców. Starsze osoby najczęściej pozostają w domach, w których są odizolowane od lokalnej społeczności. Nie organizuje się dla nich żadnych zajęć, warsztatów, wyjazdów czy chociażby zwyczajnych spotkań przy herbacie. Na tym polu jest jeszcze bardzo dużo do zrobienia, zwłaszcza jeśli chodzi o zmianę świadomości społeczeństwa, które w ostatnim czasie, w dobie pandemii, zamknęło się na świat i unikało życia towarzyskiego. </w:t>
      </w:r>
    </w:p>
    <w:p w14:paraId="718B421A"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Innym aspektem starzenia się społeczeństwa są nieuchronne zmiany na rynku pracy. Bardzo ważnym zadaniem staje się zarządzanie wiekiem, które zwiększa szanse na zatrudnienie starzejących się kobiet i mężczyzn, pomaga w przedłużaniu aktywności zawodowej osób 50+ i pozwala zapewnić równe szanse pracownikom w różnym wieku. W ostatnich latach na polskim rynku pracy i w naszym regionie obserwujemy wzrostu aktywności zawodowej osób w wieku 50+. Praca w tej grupie wiekowej jest ważna z powodów ekonomicznych: starsze osoby pracujące żyją w gospodarstwach o niższym dochodzie, często mając ważny wkład w utrzymanie rodziny. Należy zatem zwiększać świadomość pracodawców i zachęcać ich do zatrudniania osób starszych oraz promować wśród osób młodych potrzebę współpracy ze starszą, bardziej doświadczoną osobą. </w:t>
      </w:r>
    </w:p>
    <w:p w14:paraId="0673C700" w14:textId="77777777" w:rsidR="002F1917" w:rsidRPr="002F1917" w:rsidRDefault="002F1917" w:rsidP="002F1917">
      <w:pPr>
        <w:jc w:val="left"/>
        <w:rPr>
          <w:rFonts w:asciiTheme="minorHAnsi" w:hAnsiTheme="minorHAnsi"/>
          <w:color w:val="00B050"/>
          <w:sz w:val="24"/>
          <w:szCs w:val="24"/>
        </w:rPr>
      </w:pPr>
      <w:r w:rsidRPr="002F1917">
        <w:rPr>
          <w:rFonts w:asciiTheme="minorHAnsi" w:hAnsiTheme="minorHAnsi"/>
          <w:color w:val="00B050"/>
          <w:sz w:val="24"/>
          <w:szCs w:val="24"/>
        </w:rPr>
        <w:t xml:space="preserve">Wyludnienia mieszkańców zauważono w trzech gminach (Sulęcin, Torzym i Ośno Lubuskie), które są oddalone od dużych aglomeracji. Natomiast w pozostałych gminach skupionych wokół dużego miasta zauważa się tendencję odwrotną. </w:t>
      </w:r>
    </w:p>
    <w:p w14:paraId="22A5FFAD" w14:textId="77777777" w:rsidR="002F1917" w:rsidRPr="002F1917" w:rsidRDefault="002F1917" w:rsidP="002F1917">
      <w:pPr>
        <w:spacing w:after="120"/>
        <w:jc w:val="left"/>
        <w:rPr>
          <w:rFonts w:asciiTheme="minorHAnsi" w:hAnsiTheme="minorHAnsi" w:cs="Arial"/>
          <w:b/>
          <w:color w:val="00B050"/>
          <w:sz w:val="24"/>
          <w:szCs w:val="24"/>
        </w:rPr>
      </w:pPr>
    </w:p>
    <w:p w14:paraId="72C7667D" w14:textId="554E5DEC" w:rsidR="005A5679" w:rsidRPr="002F1917" w:rsidRDefault="005A5679" w:rsidP="00837361">
      <w:pPr>
        <w:spacing w:line="276" w:lineRule="auto"/>
        <w:ind w:firstLine="0"/>
        <w:rPr>
          <w:rFonts w:ascii="Arial Narrow" w:hAnsi="Arial Narrow"/>
          <w:color w:val="00B050"/>
        </w:rPr>
      </w:pPr>
    </w:p>
    <w:p w14:paraId="31D6177D" w14:textId="77777777" w:rsidR="002F1917" w:rsidRDefault="002F1917" w:rsidP="00837361">
      <w:pPr>
        <w:spacing w:line="276" w:lineRule="auto"/>
        <w:ind w:firstLine="0"/>
        <w:rPr>
          <w:rFonts w:ascii="Arial Narrow" w:hAnsi="Arial Narrow"/>
        </w:rPr>
      </w:pPr>
    </w:p>
    <w:p w14:paraId="7C1477B3" w14:textId="77777777" w:rsidR="002F1917" w:rsidRDefault="002F1917" w:rsidP="00837361">
      <w:pPr>
        <w:spacing w:line="276" w:lineRule="auto"/>
        <w:ind w:firstLine="0"/>
        <w:rPr>
          <w:rFonts w:ascii="Arial Narrow" w:hAnsi="Arial Narrow"/>
        </w:rPr>
      </w:pPr>
    </w:p>
    <w:p w14:paraId="303C5CAB" w14:textId="77777777" w:rsidR="002F1917" w:rsidRPr="003C50B5" w:rsidRDefault="002F1917" w:rsidP="00837361">
      <w:pPr>
        <w:spacing w:line="276" w:lineRule="auto"/>
        <w:ind w:firstLine="0"/>
        <w:rPr>
          <w:rFonts w:ascii="Arial Narrow" w:hAnsi="Arial Narrow"/>
        </w:rPr>
      </w:pPr>
    </w:p>
    <w:sectPr w:rsidR="002F1917" w:rsidRPr="003C50B5" w:rsidSect="003C50B5">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E3F" w14:textId="77777777" w:rsidR="003C50B5" w:rsidRDefault="003C50B5" w:rsidP="003C50B5">
      <w:r>
        <w:separator/>
      </w:r>
    </w:p>
  </w:endnote>
  <w:endnote w:type="continuationSeparator" w:id="0">
    <w:p w14:paraId="1BEFCAB4" w14:textId="77777777" w:rsidR="003C50B5" w:rsidRDefault="003C50B5" w:rsidP="003C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6A90" w14:textId="77777777" w:rsidR="003C50B5" w:rsidRDefault="003C50B5" w:rsidP="003C50B5">
      <w:r>
        <w:separator/>
      </w:r>
    </w:p>
  </w:footnote>
  <w:footnote w:type="continuationSeparator" w:id="0">
    <w:p w14:paraId="10DD7228" w14:textId="77777777" w:rsidR="003C50B5" w:rsidRDefault="003C50B5" w:rsidP="003C50B5">
      <w:r>
        <w:continuationSeparator/>
      </w:r>
    </w:p>
  </w:footnote>
  <w:footnote w:id="1">
    <w:p w14:paraId="1D817124" w14:textId="77777777" w:rsidR="003C50B5" w:rsidRPr="00837361" w:rsidRDefault="003C50B5" w:rsidP="003C50B5">
      <w:pPr>
        <w:pStyle w:val="Tekstprzypisudolnego"/>
        <w:rPr>
          <w:rFonts w:ascii="Arial Narrow" w:hAnsi="Arial Narrow"/>
          <w:sz w:val="22"/>
          <w:szCs w:val="22"/>
        </w:rPr>
      </w:pPr>
      <w:r w:rsidRPr="00837361">
        <w:rPr>
          <w:rStyle w:val="Odwoanieprzypisudolnego"/>
          <w:rFonts w:ascii="Arial Narrow" w:hAnsi="Arial Narrow"/>
          <w:sz w:val="22"/>
          <w:szCs w:val="22"/>
        </w:rPr>
        <w:footnoteRef/>
      </w:r>
      <w:r w:rsidRPr="00837361">
        <w:rPr>
          <w:rFonts w:ascii="Arial Narrow" w:hAnsi="Arial Narrow"/>
          <w:sz w:val="22"/>
          <w:szCs w:val="22"/>
        </w:rPr>
        <w:t xml:space="preserve"> Opracowanie na podstawie danych GUS na dzień 31 grudnia 2020 r. </w:t>
      </w:r>
    </w:p>
  </w:footnote>
  <w:footnote w:id="2">
    <w:p w14:paraId="09DE3D89" w14:textId="6C0B4896" w:rsidR="003C50B5" w:rsidRPr="00837361" w:rsidRDefault="003C50B5" w:rsidP="003C50B5">
      <w:pPr>
        <w:pStyle w:val="Tekstprzypisudolnego"/>
        <w:rPr>
          <w:rFonts w:ascii="Arial Narrow" w:hAnsi="Arial Narrow"/>
        </w:rPr>
      </w:pPr>
      <w:r w:rsidRPr="00837361">
        <w:rPr>
          <w:rStyle w:val="Odwoanieprzypisudolnego"/>
          <w:rFonts w:ascii="Arial Narrow" w:hAnsi="Arial Narrow"/>
          <w:sz w:val="22"/>
        </w:rPr>
        <w:footnoteRef/>
      </w:r>
      <w:r w:rsidRPr="00837361">
        <w:rPr>
          <w:rFonts w:ascii="Arial Narrow" w:hAnsi="Arial Narrow"/>
          <w:sz w:val="22"/>
        </w:rPr>
        <w:t xml:space="preserve"> </w:t>
      </w:r>
      <w:r w:rsidR="007263D3" w:rsidRPr="00837361">
        <w:rPr>
          <w:rFonts w:ascii="Arial Narrow" w:hAnsi="Arial Narrow"/>
          <w:sz w:val="18"/>
          <w:szCs w:val="18"/>
        </w:rPr>
        <w:t xml:space="preserve">Źródło: opracowanie własne na podstawie </w:t>
      </w:r>
      <w:r w:rsidRPr="00837361">
        <w:rPr>
          <w:rFonts w:ascii="Arial Narrow" w:hAnsi="Arial Narrow"/>
          <w:sz w:val="22"/>
        </w:rPr>
        <w:t>badani</w:t>
      </w:r>
      <w:r w:rsidR="007263D3">
        <w:rPr>
          <w:rFonts w:ascii="Arial Narrow" w:hAnsi="Arial Narrow"/>
          <w:sz w:val="22"/>
        </w:rPr>
        <w:t>a</w:t>
      </w:r>
      <w:r w:rsidRPr="00837361">
        <w:rPr>
          <w:rFonts w:ascii="Arial Narrow" w:hAnsi="Arial Narrow"/>
          <w:sz w:val="22"/>
        </w:rPr>
        <w:t xml:space="preserve"> ankietowe</w:t>
      </w:r>
      <w:r w:rsidR="007263D3">
        <w:rPr>
          <w:rFonts w:ascii="Arial Narrow" w:hAnsi="Arial Narrow"/>
          <w:sz w:val="22"/>
        </w:rPr>
        <w:t>go.</w:t>
      </w:r>
    </w:p>
  </w:footnote>
  <w:footnote w:id="3">
    <w:p w14:paraId="2DEB60E0" w14:textId="77777777" w:rsidR="003C50B5" w:rsidRPr="00837361" w:rsidRDefault="003C50B5" w:rsidP="003C50B5">
      <w:pPr>
        <w:rPr>
          <w:rFonts w:ascii="Arial Narrow" w:hAnsi="Arial Narrow"/>
          <w:sz w:val="18"/>
          <w:szCs w:val="18"/>
        </w:rPr>
      </w:pPr>
      <w:r w:rsidRPr="00837361">
        <w:rPr>
          <w:rStyle w:val="Odwoanieprzypisudolnego"/>
          <w:rFonts w:ascii="Arial Narrow" w:hAnsi="Arial Narrow"/>
          <w:sz w:val="18"/>
          <w:szCs w:val="18"/>
        </w:rPr>
        <w:footnoteRef/>
      </w:r>
      <w:r w:rsidRPr="00837361">
        <w:rPr>
          <w:rFonts w:ascii="Arial Narrow" w:hAnsi="Arial Narrow"/>
          <w:sz w:val="18"/>
          <w:szCs w:val="18"/>
        </w:rPr>
        <w:t xml:space="preserve"> Źródło: opracowanie własne na podstawie Banku Danych Lokalnych GUS, stan na dzień 31.12.2020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D15"/>
    <w:multiLevelType w:val="hybridMultilevel"/>
    <w:tmpl w:val="E2E89264"/>
    <w:lvl w:ilvl="0" w:tplc="976C78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A7D1E"/>
    <w:multiLevelType w:val="hybridMultilevel"/>
    <w:tmpl w:val="2702C05A"/>
    <w:lvl w:ilvl="0" w:tplc="976C78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6347E3"/>
    <w:multiLevelType w:val="hybridMultilevel"/>
    <w:tmpl w:val="5DC4A4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3C1E0364"/>
    <w:multiLevelType w:val="hybridMultilevel"/>
    <w:tmpl w:val="B6E6257E"/>
    <w:lvl w:ilvl="0" w:tplc="DB222C0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E17978"/>
    <w:multiLevelType w:val="multilevel"/>
    <w:tmpl w:val="322C40F2"/>
    <w:lvl w:ilvl="0">
      <w:start w:val="1"/>
      <w:numFmt w:val="upperRoman"/>
      <w:pStyle w:val="Nagwek1"/>
      <w:lvlText w:val="%1."/>
      <w:lvlJc w:val="right"/>
      <w:pPr>
        <w:ind w:left="432" w:hanging="432"/>
      </w:pPr>
      <w:rPr>
        <w:rFonts w:hint="default"/>
      </w:rPr>
    </w:lvl>
    <w:lvl w:ilvl="1">
      <w:start w:val="1"/>
      <w:numFmt w:val="decimal"/>
      <w:pStyle w:val="Nagwek2"/>
      <w:lvlText w:val="%1.%2"/>
      <w:lvlJc w:val="left"/>
      <w:pPr>
        <w:ind w:left="860"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 w15:restartNumberingAfterBreak="0">
    <w:nsid w:val="6D44223A"/>
    <w:multiLevelType w:val="hybridMultilevel"/>
    <w:tmpl w:val="3366293C"/>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707E7160"/>
    <w:multiLevelType w:val="hybridMultilevel"/>
    <w:tmpl w:val="96A47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4954926">
    <w:abstractNumId w:val="1"/>
  </w:num>
  <w:num w:numId="2" w16cid:durableId="1651443764">
    <w:abstractNumId w:val="0"/>
  </w:num>
  <w:num w:numId="3" w16cid:durableId="28192039">
    <w:abstractNumId w:val="4"/>
  </w:num>
  <w:num w:numId="4" w16cid:durableId="1316489739">
    <w:abstractNumId w:val="5"/>
  </w:num>
  <w:num w:numId="5" w16cid:durableId="1925335064">
    <w:abstractNumId w:val="3"/>
  </w:num>
  <w:num w:numId="6" w16cid:durableId="429274990">
    <w:abstractNumId w:val="2"/>
  </w:num>
  <w:num w:numId="7" w16cid:durableId="1544365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19C"/>
    <w:rsid w:val="00276AC5"/>
    <w:rsid w:val="00294EEC"/>
    <w:rsid w:val="002F1917"/>
    <w:rsid w:val="003C50B5"/>
    <w:rsid w:val="005A5679"/>
    <w:rsid w:val="007263D3"/>
    <w:rsid w:val="00837361"/>
    <w:rsid w:val="00892740"/>
    <w:rsid w:val="00C35504"/>
    <w:rsid w:val="00D11639"/>
    <w:rsid w:val="00D42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4FB5"/>
  <w15:docId w15:val="{C9E77A5C-58CE-4531-9807-9643E347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50B5"/>
    <w:pPr>
      <w:spacing w:after="0" w:line="240" w:lineRule="auto"/>
      <w:ind w:firstLine="284"/>
      <w:jc w:val="both"/>
    </w:pPr>
    <w:rPr>
      <w:rFonts w:ascii="Calibri" w:eastAsia="Calibri" w:hAnsi="Calibri" w:cs="Times New Roman"/>
      <w:kern w:val="22"/>
    </w:rPr>
  </w:style>
  <w:style w:type="paragraph" w:styleId="Nagwek1">
    <w:name w:val="heading 1"/>
    <w:basedOn w:val="Normalny"/>
    <w:next w:val="Normalny"/>
    <w:link w:val="Nagwek1Znak"/>
    <w:uiPriority w:val="9"/>
    <w:qFormat/>
    <w:rsid w:val="003C50B5"/>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C50B5"/>
    <w:pPr>
      <w:keepNext/>
      <w:keepLines/>
      <w:numPr>
        <w:ilvl w:val="1"/>
        <w:numId w:val="3"/>
      </w:numPr>
      <w:spacing w:before="200"/>
      <w:ind w:left="576"/>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C50B5"/>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C50B5"/>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C50B5"/>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3C50B5"/>
    <w:pPr>
      <w:keepNext/>
      <w:keepLines/>
      <w:numPr>
        <w:ilvl w:val="5"/>
        <w:numId w:val="3"/>
      </w:numPr>
      <w:tabs>
        <w:tab w:val="num" w:pos="360"/>
      </w:tabs>
      <w:spacing w:before="200"/>
      <w:ind w:left="0" w:firstLine="284"/>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3C50B5"/>
    <w:pPr>
      <w:keepNext/>
      <w:keepLines/>
      <w:numPr>
        <w:ilvl w:val="6"/>
        <w:numId w:val="3"/>
      </w:numPr>
      <w:tabs>
        <w:tab w:val="num" w:pos="360"/>
      </w:tabs>
      <w:spacing w:before="200"/>
      <w:ind w:left="0" w:firstLine="284"/>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3C50B5"/>
    <w:pPr>
      <w:keepNext/>
      <w:keepLines/>
      <w:numPr>
        <w:ilvl w:val="7"/>
        <w:numId w:val="3"/>
      </w:numPr>
      <w:tabs>
        <w:tab w:val="num" w:pos="360"/>
      </w:tabs>
      <w:spacing w:before="200"/>
      <w:ind w:left="0" w:firstLine="284"/>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3C50B5"/>
    <w:pPr>
      <w:keepNext/>
      <w:keepLines/>
      <w:numPr>
        <w:ilvl w:val="8"/>
        <w:numId w:val="3"/>
      </w:numPr>
      <w:tabs>
        <w:tab w:val="num" w:pos="360"/>
      </w:tabs>
      <w:spacing w:before="200"/>
      <w:ind w:left="0" w:firstLine="284"/>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50B5"/>
    <w:rPr>
      <w:rFonts w:asciiTheme="majorHAnsi" w:eastAsiaTheme="majorEastAsia" w:hAnsiTheme="majorHAnsi" w:cstheme="majorBidi"/>
      <w:b/>
      <w:bCs/>
      <w:color w:val="365F91" w:themeColor="accent1" w:themeShade="BF"/>
      <w:kern w:val="22"/>
      <w:sz w:val="28"/>
      <w:szCs w:val="28"/>
    </w:rPr>
  </w:style>
  <w:style w:type="character" w:customStyle="1" w:styleId="Nagwek2Znak">
    <w:name w:val="Nagłówek 2 Znak"/>
    <w:basedOn w:val="Domylnaczcionkaakapitu"/>
    <w:link w:val="Nagwek2"/>
    <w:uiPriority w:val="9"/>
    <w:rsid w:val="003C50B5"/>
    <w:rPr>
      <w:rFonts w:asciiTheme="majorHAnsi" w:eastAsiaTheme="majorEastAsia" w:hAnsiTheme="majorHAnsi" w:cstheme="majorBidi"/>
      <w:b/>
      <w:bCs/>
      <w:color w:val="4F81BD" w:themeColor="accent1"/>
      <w:kern w:val="22"/>
      <w:sz w:val="26"/>
      <w:szCs w:val="26"/>
    </w:rPr>
  </w:style>
  <w:style w:type="character" w:customStyle="1" w:styleId="Nagwek3Znak">
    <w:name w:val="Nagłówek 3 Znak"/>
    <w:basedOn w:val="Domylnaczcionkaakapitu"/>
    <w:link w:val="Nagwek3"/>
    <w:uiPriority w:val="9"/>
    <w:rsid w:val="003C50B5"/>
    <w:rPr>
      <w:rFonts w:asciiTheme="majorHAnsi" w:eastAsiaTheme="majorEastAsia" w:hAnsiTheme="majorHAnsi" w:cstheme="majorBidi"/>
      <w:b/>
      <w:bCs/>
      <w:color w:val="4F81BD" w:themeColor="accent1"/>
      <w:kern w:val="22"/>
    </w:rPr>
  </w:style>
  <w:style w:type="character" w:customStyle="1" w:styleId="Nagwek4Znak">
    <w:name w:val="Nagłówek 4 Znak"/>
    <w:basedOn w:val="Domylnaczcionkaakapitu"/>
    <w:link w:val="Nagwek4"/>
    <w:uiPriority w:val="9"/>
    <w:rsid w:val="003C50B5"/>
    <w:rPr>
      <w:rFonts w:asciiTheme="majorHAnsi" w:eastAsiaTheme="majorEastAsia" w:hAnsiTheme="majorHAnsi" w:cstheme="majorBidi"/>
      <w:b/>
      <w:bCs/>
      <w:i/>
      <w:iCs/>
      <w:color w:val="4F81BD" w:themeColor="accent1"/>
      <w:kern w:val="22"/>
    </w:rPr>
  </w:style>
  <w:style w:type="character" w:customStyle="1" w:styleId="Nagwek5Znak">
    <w:name w:val="Nagłówek 5 Znak"/>
    <w:basedOn w:val="Domylnaczcionkaakapitu"/>
    <w:link w:val="Nagwek5"/>
    <w:uiPriority w:val="9"/>
    <w:semiHidden/>
    <w:rsid w:val="003C50B5"/>
    <w:rPr>
      <w:rFonts w:asciiTheme="majorHAnsi" w:eastAsiaTheme="majorEastAsia" w:hAnsiTheme="majorHAnsi" w:cstheme="majorBidi"/>
      <w:color w:val="243F60" w:themeColor="accent1" w:themeShade="7F"/>
      <w:kern w:val="22"/>
    </w:rPr>
  </w:style>
  <w:style w:type="character" w:customStyle="1" w:styleId="Nagwek6Znak">
    <w:name w:val="Nagłówek 6 Znak"/>
    <w:basedOn w:val="Domylnaczcionkaakapitu"/>
    <w:link w:val="Nagwek6"/>
    <w:uiPriority w:val="9"/>
    <w:semiHidden/>
    <w:rsid w:val="003C50B5"/>
    <w:rPr>
      <w:rFonts w:asciiTheme="majorHAnsi" w:eastAsiaTheme="majorEastAsia" w:hAnsiTheme="majorHAnsi" w:cstheme="majorBidi"/>
      <w:i/>
      <w:iCs/>
      <w:color w:val="243F60" w:themeColor="accent1" w:themeShade="7F"/>
      <w:kern w:val="22"/>
    </w:rPr>
  </w:style>
  <w:style w:type="character" w:customStyle="1" w:styleId="Nagwek7Znak">
    <w:name w:val="Nagłówek 7 Znak"/>
    <w:basedOn w:val="Domylnaczcionkaakapitu"/>
    <w:link w:val="Nagwek7"/>
    <w:uiPriority w:val="9"/>
    <w:semiHidden/>
    <w:rsid w:val="003C50B5"/>
    <w:rPr>
      <w:rFonts w:asciiTheme="majorHAnsi" w:eastAsiaTheme="majorEastAsia" w:hAnsiTheme="majorHAnsi" w:cstheme="majorBidi"/>
      <w:i/>
      <w:iCs/>
      <w:color w:val="404040" w:themeColor="text1" w:themeTint="BF"/>
      <w:kern w:val="22"/>
    </w:rPr>
  </w:style>
  <w:style w:type="character" w:customStyle="1" w:styleId="Nagwek8Znak">
    <w:name w:val="Nagłówek 8 Znak"/>
    <w:basedOn w:val="Domylnaczcionkaakapitu"/>
    <w:link w:val="Nagwek8"/>
    <w:uiPriority w:val="9"/>
    <w:semiHidden/>
    <w:rsid w:val="003C50B5"/>
    <w:rPr>
      <w:rFonts w:asciiTheme="majorHAnsi" w:eastAsiaTheme="majorEastAsia" w:hAnsiTheme="majorHAnsi" w:cstheme="majorBidi"/>
      <w:color w:val="404040" w:themeColor="text1" w:themeTint="BF"/>
      <w:kern w:val="22"/>
      <w:sz w:val="20"/>
      <w:szCs w:val="20"/>
    </w:rPr>
  </w:style>
  <w:style w:type="character" w:customStyle="1" w:styleId="Nagwek9Znak">
    <w:name w:val="Nagłówek 9 Znak"/>
    <w:basedOn w:val="Domylnaczcionkaakapitu"/>
    <w:link w:val="Nagwek9"/>
    <w:uiPriority w:val="9"/>
    <w:semiHidden/>
    <w:rsid w:val="003C50B5"/>
    <w:rPr>
      <w:rFonts w:asciiTheme="majorHAnsi" w:eastAsiaTheme="majorEastAsia" w:hAnsiTheme="majorHAnsi" w:cstheme="majorBidi"/>
      <w:i/>
      <w:iCs/>
      <w:color w:val="404040" w:themeColor="text1" w:themeTint="BF"/>
      <w:kern w:val="22"/>
      <w:sz w:val="20"/>
      <w:szCs w:val="20"/>
    </w:rPr>
  </w:style>
  <w:style w:type="paragraph" w:styleId="Akapitzlist">
    <w:name w:val="List Paragraph"/>
    <w:basedOn w:val="Normalny"/>
    <w:uiPriority w:val="34"/>
    <w:qFormat/>
    <w:rsid w:val="003C50B5"/>
    <w:pPr>
      <w:ind w:left="720"/>
      <w:contextualSpacing/>
      <w:jc w:val="left"/>
    </w:pPr>
    <w:rPr>
      <w:rFonts w:asciiTheme="minorHAnsi" w:eastAsiaTheme="minorHAnsi" w:hAnsiTheme="minorHAnsi" w:cstheme="minorBidi"/>
      <w:kern w:val="0"/>
    </w:rPr>
  </w:style>
  <w:style w:type="paragraph" w:styleId="Legenda">
    <w:name w:val="caption"/>
    <w:basedOn w:val="Normalny"/>
    <w:next w:val="Normalny"/>
    <w:uiPriority w:val="35"/>
    <w:unhideWhenUsed/>
    <w:qFormat/>
    <w:rsid w:val="003C50B5"/>
    <w:rPr>
      <w:b/>
      <w:bCs/>
      <w:color w:val="4F81BD" w:themeColor="accent1"/>
      <w:sz w:val="18"/>
      <w:szCs w:val="18"/>
    </w:rPr>
  </w:style>
  <w:style w:type="paragraph" w:styleId="Tekstprzypisudolnego">
    <w:name w:val="footnote text"/>
    <w:basedOn w:val="Normalny"/>
    <w:link w:val="TekstprzypisudolnegoZnak"/>
    <w:uiPriority w:val="99"/>
    <w:semiHidden/>
    <w:unhideWhenUsed/>
    <w:rsid w:val="003C50B5"/>
    <w:rPr>
      <w:sz w:val="20"/>
      <w:szCs w:val="20"/>
    </w:rPr>
  </w:style>
  <w:style w:type="character" w:customStyle="1" w:styleId="TekstprzypisudolnegoZnak">
    <w:name w:val="Tekst przypisu dolnego Znak"/>
    <w:basedOn w:val="Domylnaczcionkaakapitu"/>
    <w:link w:val="Tekstprzypisudolnego"/>
    <w:uiPriority w:val="99"/>
    <w:semiHidden/>
    <w:rsid w:val="003C50B5"/>
    <w:rPr>
      <w:rFonts w:ascii="Calibri" w:eastAsia="Calibri" w:hAnsi="Calibri" w:cs="Times New Roman"/>
      <w:kern w:val="22"/>
      <w:sz w:val="20"/>
      <w:szCs w:val="20"/>
    </w:rPr>
  </w:style>
  <w:style w:type="character" w:styleId="Odwoanieprzypisudolnego">
    <w:name w:val="footnote reference"/>
    <w:basedOn w:val="Domylnaczcionkaakapitu"/>
    <w:uiPriority w:val="99"/>
    <w:semiHidden/>
    <w:unhideWhenUsed/>
    <w:rsid w:val="003C50B5"/>
    <w:rPr>
      <w:vertAlign w:val="superscript"/>
    </w:rPr>
  </w:style>
  <w:style w:type="paragraph" w:styleId="Nagwek">
    <w:name w:val="header"/>
    <w:basedOn w:val="Normalny"/>
    <w:link w:val="NagwekZnak"/>
    <w:uiPriority w:val="99"/>
    <w:unhideWhenUsed/>
    <w:rsid w:val="00276AC5"/>
    <w:pPr>
      <w:tabs>
        <w:tab w:val="center" w:pos="4536"/>
        <w:tab w:val="right" w:pos="9072"/>
      </w:tabs>
    </w:pPr>
  </w:style>
  <w:style w:type="character" w:customStyle="1" w:styleId="NagwekZnak">
    <w:name w:val="Nagłówek Znak"/>
    <w:basedOn w:val="Domylnaczcionkaakapitu"/>
    <w:link w:val="Nagwek"/>
    <w:uiPriority w:val="99"/>
    <w:rsid w:val="00276AC5"/>
    <w:rPr>
      <w:rFonts w:ascii="Calibri" w:eastAsia="Calibri" w:hAnsi="Calibri" w:cs="Times New Roman"/>
      <w:kern w:val="22"/>
    </w:rPr>
  </w:style>
  <w:style w:type="paragraph" w:styleId="Stopka">
    <w:name w:val="footer"/>
    <w:basedOn w:val="Normalny"/>
    <w:link w:val="StopkaZnak"/>
    <w:uiPriority w:val="99"/>
    <w:unhideWhenUsed/>
    <w:rsid w:val="00276AC5"/>
    <w:pPr>
      <w:tabs>
        <w:tab w:val="center" w:pos="4536"/>
        <w:tab w:val="right" w:pos="9072"/>
      </w:tabs>
    </w:pPr>
  </w:style>
  <w:style w:type="character" w:customStyle="1" w:styleId="StopkaZnak">
    <w:name w:val="Stopka Znak"/>
    <w:basedOn w:val="Domylnaczcionkaakapitu"/>
    <w:link w:val="Stopka"/>
    <w:uiPriority w:val="99"/>
    <w:rsid w:val="00276AC5"/>
    <w:rPr>
      <w:rFonts w:ascii="Calibri" w:eastAsia="Calibri" w:hAnsi="Calibri" w:cs="Times New Roman"/>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148EE-AAA6-4A5F-AB04-2150B77A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5598</Words>
  <Characters>33593</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Ilona Wojciechowska</cp:lastModifiedBy>
  <cp:revision>4</cp:revision>
  <dcterms:created xsi:type="dcterms:W3CDTF">2023-05-25T08:09:00Z</dcterms:created>
  <dcterms:modified xsi:type="dcterms:W3CDTF">2023-05-26T08:20:00Z</dcterms:modified>
</cp:coreProperties>
</file>