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77EBC" w14:textId="77777777" w:rsidR="00D172E6" w:rsidRPr="00D172E6" w:rsidRDefault="00D172E6" w:rsidP="00D172E6">
      <w:pPr>
        <w:ind w:firstLine="0"/>
        <w:jc w:val="left"/>
        <w:rPr>
          <w:rFonts w:ascii="Arial Narrow" w:hAnsi="Arial Narrow"/>
          <w:b/>
          <w:color w:val="00B050"/>
        </w:rPr>
      </w:pPr>
      <w:bookmarkStart w:id="0" w:name="_Toc75873831"/>
      <w:r w:rsidRPr="00D172E6">
        <w:rPr>
          <w:rFonts w:ascii="Arial Narrow" w:hAnsi="Arial Narrow"/>
          <w:b/>
          <w:color w:val="00B050"/>
        </w:rPr>
        <w:t>X. MONITORING I EWALUACJA</w:t>
      </w:r>
      <w:bookmarkEnd w:id="0"/>
    </w:p>
    <w:p w14:paraId="7CC5E010" w14:textId="77777777" w:rsidR="00D172E6" w:rsidRPr="00D172E6" w:rsidRDefault="00D172E6" w:rsidP="00D172E6">
      <w:pPr>
        <w:spacing w:line="276" w:lineRule="auto"/>
        <w:ind w:firstLine="0"/>
        <w:rPr>
          <w:rFonts w:ascii="Arial Narrow" w:hAnsi="Arial Narrow" w:cs="Arial"/>
        </w:rPr>
      </w:pPr>
      <w:r w:rsidRPr="00D172E6">
        <w:rPr>
          <w:rFonts w:ascii="Arial Narrow" w:hAnsi="Arial Narrow" w:cs="Arial"/>
        </w:rPr>
        <w:t xml:space="preserve">LGD w trakcie wdrażania strategii prowadzić będzie działania monitoringowe i ewaluacyjne. </w:t>
      </w:r>
      <w:r w:rsidRPr="00D172E6">
        <w:rPr>
          <w:rFonts w:ascii="Arial Narrow" w:hAnsi="Arial Narrow" w:cs="Arial"/>
          <w:b/>
        </w:rPr>
        <w:t>Monitoring</w:t>
      </w:r>
      <w:r w:rsidRPr="00D172E6">
        <w:rPr>
          <w:rFonts w:ascii="Arial Narrow" w:hAnsi="Arial Narrow" w:cs="Arial"/>
        </w:rPr>
        <w:t xml:space="preserve"> prowadzony będzie w sposób ciągły od dnia zawarcia umowy o warunkach i sposobie realizacji LSR do dnia zakończenia wdrażania strategii przez biuro i Zarząd LGD. </w:t>
      </w:r>
    </w:p>
    <w:p w14:paraId="4E31C9FC" w14:textId="77777777" w:rsidR="00D172E6" w:rsidRPr="00D172E6" w:rsidRDefault="00D172E6" w:rsidP="00D172E6">
      <w:pPr>
        <w:spacing w:line="276" w:lineRule="auto"/>
        <w:ind w:firstLine="0"/>
        <w:rPr>
          <w:rFonts w:ascii="Arial Narrow" w:hAnsi="Arial Narrow" w:cs="Arial"/>
          <w:color w:val="FF0000"/>
        </w:rPr>
      </w:pPr>
      <w:r w:rsidRPr="00D172E6">
        <w:rPr>
          <w:rFonts w:ascii="Arial Narrow" w:hAnsi="Arial Narrow" w:cs="Arial"/>
        </w:rPr>
        <w:t xml:space="preserve">Dane monitoringowe, zawarte w poszczególnych sprawozdaniach, zostaną wykorzystane do oceny efektywności wdrażania strategii. Na ich podstawie biuro, Zarząd i Komisja Rewizyjna będą mogły przygotować propozycje zmian w procesie wdrażania strategii (w tym Planu komunikacji) tak, aby jej realizacja przebiegła zgodnie z założeniami i przyniosła zakładane efekty. </w:t>
      </w:r>
    </w:p>
    <w:p w14:paraId="671EB245" w14:textId="77777777" w:rsidR="00D172E6" w:rsidRPr="00D172E6" w:rsidRDefault="00D172E6" w:rsidP="00D172E6">
      <w:pPr>
        <w:spacing w:line="276" w:lineRule="auto"/>
        <w:ind w:firstLine="0"/>
        <w:rPr>
          <w:rFonts w:ascii="Arial Narrow" w:hAnsi="Arial Narrow" w:cs="Arial"/>
        </w:rPr>
      </w:pPr>
      <w:r w:rsidRPr="00D172E6">
        <w:rPr>
          <w:rFonts w:ascii="Arial Narrow" w:hAnsi="Arial Narrow" w:cs="Arial"/>
        </w:rPr>
        <w:t xml:space="preserve">LGD planuje także przeprowadzenie </w:t>
      </w:r>
      <w:r w:rsidRPr="00D172E6">
        <w:rPr>
          <w:rFonts w:ascii="Arial Narrow" w:hAnsi="Arial Narrow" w:cs="Arial"/>
          <w:b/>
        </w:rPr>
        <w:t>ewaluacji</w:t>
      </w:r>
      <w:r w:rsidRPr="00D172E6">
        <w:rPr>
          <w:rFonts w:ascii="Arial Narrow" w:hAnsi="Arial Narrow" w:cs="Arial"/>
        </w:rPr>
        <w:t xml:space="preserve"> </w:t>
      </w:r>
      <w:r w:rsidRPr="00D172E6">
        <w:rPr>
          <w:rFonts w:ascii="Arial Narrow" w:hAnsi="Arial Narrow" w:cs="Arial"/>
          <w:b/>
          <w:bCs/>
        </w:rPr>
        <w:t>on-</w:t>
      </w:r>
      <w:proofErr w:type="spellStart"/>
      <w:r w:rsidRPr="00D172E6">
        <w:rPr>
          <w:rFonts w:ascii="Arial Narrow" w:hAnsi="Arial Narrow" w:cs="Arial"/>
          <w:b/>
          <w:bCs/>
        </w:rPr>
        <w:t>going</w:t>
      </w:r>
      <w:proofErr w:type="spellEnd"/>
      <w:r w:rsidRPr="00D172E6">
        <w:rPr>
          <w:rFonts w:ascii="Arial Narrow" w:hAnsi="Arial Narrow" w:cs="Arial"/>
        </w:rPr>
        <w:t xml:space="preserve">  oraz </w:t>
      </w:r>
      <w:r w:rsidRPr="00D172E6">
        <w:rPr>
          <w:rFonts w:ascii="Arial Narrow" w:hAnsi="Arial Narrow" w:cs="Arial"/>
          <w:b/>
          <w:bCs/>
        </w:rPr>
        <w:t>ewaluacji ex-post</w:t>
      </w:r>
      <w:r w:rsidRPr="00D172E6">
        <w:rPr>
          <w:rFonts w:ascii="Arial Narrow" w:hAnsi="Arial Narrow" w:cs="Arial"/>
        </w:rPr>
        <w:t xml:space="preserve"> . </w:t>
      </w:r>
    </w:p>
    <w:p w14:paraId="1FA9E639" w14:textId="77777777" w:rsidR="00D172E6" w:rsidRPr="00D172E6" w:rsidRDefault="00D172E6" w:rsidP="00D172E6">
      <w:pPr>
        <w:spacing w:line="276" w:lineRule="auto"/>
        <w:ind w:firstLine="0"/>
        <w:rPr>
          <w:rFonts w:ascii="Arial Narrow" w:hAnsi="Arial Narrow" w:cs="Arial"/>
        </w:rPr>
      </w:pPr>
      <w:r w:rsidRPr="00D172E6">
        <w:rPr>
          <w:rFonts w:ascii="Arial Narrow" w:hAnsi="Arial Narrow" w:cs="Arial"/>
        </w:rPr>
        <w:t xml:space="preserve">Ewaluacja ex-post  przeprowadzona będzie do końca 2028 r. przez niezależnego </w:t>
      </w:r>
      <w:proofErr w:type="spellStart"/>
      <w:r w:rsidRPr="00D172E6">
        <w:rPr>
          <w:rFonts w:ascii="Arial Narrow" w:hAnsi="Arial Narrow" w:cs="Arial"/>
        </w:rPr>
        <w:t>ewaluatora</w:t>
      </w:r>
      <w:proofErr w:type="spellEnd"/>
      <w:r w:rsidRPr="00D172E6">
        <w:rPr>
          <w:rFonts w:ascii="Arial Narrow" w:hAnsi="Arial Narrow" w:cs="Arial"/>
        </w:rPr>
        <w:t xml:space="preserve"> posiadającego odpowiednie kwalifikacje i doświadczenie w ewaluacji LSR. Raport z badań zostanie zamieszczony na stronie internetowej LGD oraz przesłany do </w:t>
      </w:r>
      <w:proofErr w:type="spellStart"/>
      <w:r w:rsidRPr="00D172E6">
        <w:rPr>
          <w:rFonts w:ascii="Arial Narrow" w:hAnsi="Arial Narrow" w:cs="Arial"/>
        </w:rPr>
        <w:t>MRiRW</w:t>
      </w:r>
      <w:proofErr w:type="spellEnd"/>
      <w:r w:rsidRPr="00D172E6">
        <w:rPr>
          <w:rFonts w:ascii="Arial Narrow" w:hAnsi="Arial Narrow" w:cs="Arial"/>
        </w:rPr>
        <w:t xml:space="preserve"> wraz z informacją na temat sposobu realizacji rekomendacji i zaleceń.</w:t>
      </w:r>
    </w:p>
    <w:p w14:paraId="53F1D46D" w14:textId="77777777" w:rsidR="00D172E6" w:rsidRPr="00D172E6" w:rsidRDefault="00D172E6" w:rsidP="00D172E6">
      <w:pPr>
        <w:spacing w:line="276" w:lineRule="auto"/>
        <w:ind w:firstLine="0"/>
        <w:rPr>
          <w:rFonts w:ascii="Arial Narrow" w:hAnsi="Arial Narrow" w:cs="Arial"/>
        </w:rPr>
      </w:pPr>
      <w:r w:rsidRPr="00D172E6">
        <w:rPr>
          <w:rFonts w:ascii="Arial Narrow" w:hAnsi="Arial Narrow" w:cs="Arial"/>
        </w:rPr>
        <w:t xml:space="preserve">Ewaluacja wewnętrzna LSR będzie serią przeprowadzanych corocznie ćwiczeń analityczno-refleksyjnych w formie co najmniej 5-godzinnego </w:t>
      </w:r>
      <w:r w:rsidRPr="00D172E6">
        <w:rPr>
          <w:rFonts w:ascii="Arial Narrow" w:hAnsi="Arial Narrow" w:cs="Arial"/>
          <w:b/>
        </w:rPr>
        <w:t xml:space="preserve">warsztatu refleksyjnego </w:t>
      </w:r>
      <w:r w:rsidRPr="00D172E6">
        <w:rPr>
          <w:rFonts w:ascii="Arial Narrow" w:hAnsi="Arial Narrow" w:cs="Arial"/>
        </w:rPr>
        <w:t>na początku każdego roku kalendarzowego, tak aby wnioski z niego mogły zasilić o dodatkowe informacje sprawozdanie końcowe z realizacji LSR za rok poprzedni. Uczestnikami warsztatów będą pracownicy biura LGD, członkowie Zarządu i Rady LGD. Do udziału w warsztatach LGD może zaprosić również przedstawicieli samorządu województwa, innych LGD oraz beneficjentów. Warsztaty przeprowadzone będą zgodnie z wytycznymi w zakresie monitoringu i ewaluacji strategii rozwoju lokalnego kierowanego przez społeczność w ramach PROW 2014-2020. Podsumowanie warsztatu w postaci syntetycznych odpowiedzi na poruszane zagadnienia oraz informacji na temat sposobu wdrożenia rekomendacji, będzie elementem sprawozdania rocznego.</w:t>
      </w:r>
    </w:p>
    <w:p w14:paraId="7F6F2A84" w14:textId="77777777" w:rsidR="00D172E6" w:rsidRPr="00D172E6" w:rsidRDefault="00D172E6" w:rsidP="00D172E6">
      <w:pPr>
        <w:spacing w:line="276" w:lineRule="auto"/>
        <w:ind w:firstLine="0"/>
        <w:rPr>
          <w:rFonts w:ascii="Arial Narrow" w:hAnsi="Arial Narrow" w:cs="Arial"/>
        </w:rPr>
      </w:pPr>
      <w:r w:rsidRPr="00D172E6">
        <w:rPr>
          <w:rFonts w:ascii="Arial Narrow" w:hAnsi="Arial Narrow" w:cs="Arial"/>
          <w:noProof/>
          <w:lang w:eastAsia="pl-PL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86FC3CB" wp14:editId="12B6F7CC">
                <wp:simplePos x="0" y="0"/>
                <wp:positionH relativeFrom="column">
                  <wp:posOffset>-2275981</wp:posOffset>
                </wp:positionH>
                <wp:positionV relativeFrom="paragraph">
                  <wp:posOffset>11207</wp:posOffset>
                </wp:positionV>
                <wp:extent cx="360" cy="360"/>
                <wp:effectExtent l="133350" t="209550" r="133350" b="247650"/>
                <wp:wrapNone/>
                <wp:docPr id="1" name="Pismo odręczne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5482042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smo odręczne 1" o:spid="_x0000_s1026" type="#_x0000_t75" style="position:absolute;margin-left:-186.3pt;margin-top:-13.25pt;width:14.2pt;height:2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">
                <v:imagedata r:id="rId6" o:title=""/>
              </v:shape>
            </w:pict>
          </mc:Fallback>
        </mc:AlternateContent>
      </w:r>
      <w:r w:rsidRPr="00D172E6">
        <w:rPr>
          <w:rFonts w:ascii="Arial Narrow" w:hAnsi="Arial Narrow" w:cs="Arial"/>
        </w:rPr>
        <w:t>Zaplanowane w LSR działania dotyczące monitoringu i ewaluacji (w tym przede wszystkim metody zbierania oraz analizy</w:t>
      </w:r>
      <w:r w:rsidRPr="00D172E6">
        <w:rPr>
          <w:rFonts w:ascii="Arial Narrow" w:hAnsi="Arial Narrow" w:cs="Arial"/>
        </w:rPr>
        <w:br/>
        <w:t>i oceny danych) zostały rozpisanie w ujęciu tabelarycznym.</w:t>
      </w:r>
    </w:p>
    <w:p w14:paraId="66BF10BF" w14:textId="77777777" w:rsidR="00D172E6" w:rsidRPr="00D172E6" w:rsidRDefault="00D172E6" w:rsidP="00D172E6">
      <w:pPr>
        <w:jc w:val="left"/>
        <w:rPr>
          <w:rFonts w:ascii="Arial Narrow" w:hAnsi="Arial Narrow" w:cs="Arial"/>
        </w:rPr>
      </w:pPr>
    </w:p>
    <w:p w14:paraId="4AF266E6" w14:textId="77777777" w:rsidR="00D172E6" w:rsidRPr="00D172E6" w:rsidRDefault="00D172E6" w:rsidP="00D172E6">
      <w:pPr>
        <w:spacing w:line="276" w:lineRule="auto"/>
        <w:ind w:left="284" w:firstLine="0"/>
        <w:jc w:val="left"/>
        <w:rPr>
          <w:rFonts w:ascii="Arial Narrow" w:hAnsi="Arial Narrow"/>
          <w:b/>
          <w:sz w:val="20"/>
        </w:rPr>
      </w:pPr>
      <w:r w:rsidRPr="00D172E6">
        <w:rPr>
          <w:rFonts w:ascii="Arial Narrow" w:hAnsi="Arial Narrow"/>
          <w:b/>
          <w:sz w:val="20"/>
        </w:rPr>
        <w:t xml:space="preserve">Tabela </w:t>
      </w:r>
      <w:r w:rsidRPr="00D172E6">
        <w:rPr>
          <w:rFonts w:ascii="Arial Narrow" w:hAnsi="Arial Narrow"/>
          <w:b/>
          <w:sz w:val="20"/>
        </w:rPr>
        <w:fldChar w:fldCharType="begin"/>
      </w:r>
      <w:r w:rsidRPr="00D172E6">
        <w:rPr>
          <w:rFonts w:ascii="Arial Narrow" w:hAnsi="Arial Narrow"/>
          <w:b/>
          <w:sz w:val="20"/>
        </w:rPr>
        <w:instrText xml:space="preserve"> SEQ Tabela \* ARABIC </w:instrText>
      </w:r>
      <w:r w:rsidRPr="00D172E6">
        <w:rPr>
          <w:rFonts w:ascii="Arial Narrow" w:hAnsi="Arial Narrow"/>
          <w:b/>
          <w:sz w:val="20"/>
        </w:rPr>
        <w:fldChar w:fldCharType="separate"/>
      </w:r>
      <w:r w:rsidRPr="00D172E6">
        <w:rPr>
          <w:rFonts w:ascii="Arial Narrow" w:hAnsi="Arial Narrow"/>
          <w:b/>
          <w:noProof/>
          <w:sz w:val="20"/>
        </w:rPr>
        <w:t>18</w:t>
      </w:r>
      <w:r w:rsidRPr="00D172E6">
        <w:rPr>
          <w:rFonts w:ascii="Arial Narrow" w:hAnsi="Arial Narrow"/>
          <w:b/>
          <w:sz w:val="20"/>
        </w:rPr>
        <w:fldChar w:fldCharType="end"/>
      </w:r>
      <w:r w:rsidRPr="00D172E6">
        <w:rPr>
          <w:rFonts w:ascii="Arial Narrow" w:hAnsi="Arial Narrow"/>
          <w:b/>
          <w:sz w:val="20"/>
        </w:rPr>
        <w:t xml:space="preserve"> Monitoring i ewaluacja</w:t>
      </w:r>
    </w:p>
    <w:tbl>
      <w:tblPr>
        <w:tblStyle w:val="Tabela-Siatka2"/>
        <w:tblW w:w="10314" w:type="dxa"/>
        <w:tblLayout w:type="fixed"/>
        <w:tblLook w:val="04A0" w:firstRow="1" w:lastRow="0" w:firstColumn="1" w:lastColumn="0" w:noHBand="0" w:noVBand="1"/>
      </w:tblPr>
      <w:tblGrid>
        <w:gridCol w:w="2405"/>
        <w:gridCol w:w="1559"/>
        <w:gridCol w:w="2835"/>
        <w:gridCol w:w="2127"/>
        <w:gridCol w:w="1388"/>
      </w:tblGrid>
      <w:tr w:rsidR="00D172E6" w:rsidRPr="00D172E6" w14:paraId="36C7A3E0" w14:textId="77777777" w:rsidTr="00F60FFF">
        <w:tc>
          <w:tcPr>
            <w:tcW w:w="2405" w:type="dxa"/>
            <w:tcBorders>
              <w:bottom w:val="single" w:sz="24" w:space="0" w:color="31849B" w:themeColor="accent5" w:themeShade="BF"/>
            </w:tcBorders>
          </w:tcPr>
          <w:p w14:paraId="50625487" w14:textId="77777777" w:rsidR="00D172E6" w:rsidRPr="00D172E6" w:rsidRDefault="00D172E6" w:rsidP="00D172E6">
            <w:pPr>
              <w:spacing w:line="276" w:lineRule="auto"/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751AA1D" w14:textId="77777777" w:rsidR="00D172E6" w:rsidRPr="00D172E6" w:rsidRDefault="00D172E6" w:rsidP="00D172E6">
            <w:pPr>
              <w:spacing w:line="276" w:lineRule="auto"/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b/>
                <w:sz w:val="20"/>
                <w:szCs w:val="20"/>
              </w:rPr>
              <w:t>Zakres badania</w:t>
            </w:r>
          </w:p>
          <w:p w14:paraId="42F80A07" w14:textId="77777777" w:rsidR="00D172E6" w:rsidRPr="00D172E6" w:rsidRDefault="00D172E6" w:rsidP="00D172E6">
            <w:pPr>
              <w:spacing w:line="276" w:lineRule="auto"/>
              <w:ind w:firstLine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24" w:space="0" w:color="31849B" w:themeColor="accent5" w:themeShade="BF"/>
            </w:tcBorders>
          </w:tcPr>
          <w:p w14:paraId="40A5932C" w14:textId="77777777" w:rsidR="00D172E6" w:rsidRPr="00D172E6" w:rsidRDefault="00D172E6" w:rsidP="00D172E6">
            <w:pPr>
              <w:spacing w:line="276" w:lineRule="auto"/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b/>
                <w:sz w:val="20"/>
                <w:szCs w:val="20"/>
              </w:rPr>
              <w:t xml:space="preserve">Podmiot odpowiedzialny </w:t>
            </w:r>
          </w:p>
          <w:p w14:paraId="2B0BD6A7" w14:textId="77777777" w:rsidR="00D172E6" w:rsidRPr="00D172E6" w:rsidRDefault="00D172E6" w:rsidP="00D172E6">
            <w:pPr>
              <w:spacing w:line="276" w:lineRule="auto"/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b/>
                <w:sz w:val="20"/>
                <w:szCs w:val="20"/>
              </w:rPr>
              <w:t>za badanie</w:t>
            </w:r>
          </w:p>
        </w:tc>
        <w:tc>
          <w:tcPr>
            <w:tcW w:w="2835" w:type="dxa"/>
            <w:tcBorders>
              <w:bottom w:val="single" w:sz="24" w:space="0" w:color="31849B" w:themeColor="accent5" w:themeShade="BF"/>
            </w:tcBorders>
          </w:tcPr>
          <w:p w14:paraId="00368C14" w14:textId="77777777" w:rsidR="00D172E6" w:rsidRPr="00D172E6" w:rsidRDefault="00D172E6" w:rsidP="00D172E6">
            <w:pPr>
              <w:spacing w:line="276" w:lineRule="auto"/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7A892B6" w14:textId="6F3FE279" w:rsidR="00D172E6" w:rsidRPr="00D172E6" w:rsidRDefault="009D0D5F" w:rsidP="00D172E6">
            <w:pPr>
              <w:spacing w:line="276" w:lineRule="auto"/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b/>
                <w:sz w:val="20"/>
                <w:szCs w:val="20"/>
              </w:rPr>
              <w:t>Źródła</w:t>
            </w:r>
            <w:r w:rsidR="00D172E6" w:rsidRPr="00D172E6">
              <w:rPr>
                <w:rFonts w:ascii="Arial Narrow" w:hAnsi="Arial Narrow" w:cs="Arial"/>
                <w:b/>
                <w:sz w:val="20"/>
                <w:szCs w:val="20"/>
              </w:rPr>
              <w:t xml:space="preserve"> danych</w:t>
            </w:r>
          </w:p>
        </w:tc>
        <w:tc>
          <w:tcPr>
            <w:tcW w:w="2127" w:type="dxa"/>
            <w:tcBorders>
              <w:bottom w:val="single" w:sz="24" w:space="0" w:color="31849B" w:themeColor="accent5" w:themeShade="BF"/>
            </w:tcBorders>
          </w:tcPr>
          <w:p w14:paraId="291139D8" w14:textId="77777777" w:rsidR="00D172E6" w:rsidRPr="00D172E6" w:rsidRDefault="00D172E6" w:rsidP="00D172E6">
            <w:pPr>
              <w:spacing w:line="276" w:lineRule="auto"/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4E4E0A6" w14:textId="77777777" w:rsidR="00D172E6" w:rsidRPr="00D172E6" w:rsidRDefault="00D172E6" w:rsidP="00D172E6">
            <w:pPr>
              <w:spacing w:line="276" w:lineRule="auto"/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b/>
                <w:sz w:val="20"/>
                <w:szCs w:val="20"/>
              </w:rPr>
              <w:t>Sposób badania</w:t>
            </w:r>
          </w:p>
        </w:tc>
        <w:tc>
          <w:tcPr>
            <w:tcW w:w="1388" w:type="dxa"/>
            <w:tcBorders>
              <w:bottom w:val="single" w:sz="24" w:space="0" w:color="31849B" w:themeColor="accent5" w:themeShade="BF"/>
            </w:tcBorders>
          </w:tcPr>
          <w:p w14:paraId="2B8AF73B" w14:textId="77777777" w:rsidR="00D172E6" w:rsidRPr="00D172E6" w:rsidRDefault="00D172E6" w:rsidP="00D172E6">
            <w:pPr>
              <w:spacing w:line="276" w:lineRule="auto"/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0D3B4B62" w14:textId="77777777" w:rsidR="00D172E6" w:rsidRPr="00D172E6" w:rsidRDefault="00D172E6" w:rsidP="00D172E6">
            <w:pPr>
              <w:spacing w:line="276" w:lineRule="auto"/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b/>
                <w:sz w:val="20"/>
                <w:szCs w:val="20"/>
              </w:rPr>
              <w:t>Czas/okres badania</w:t>
            </w:r>
          </w:p>
        </w:tc>
      </w:tr>
      <w:tr w:rsidR="00D172E6" w:rsidRPr="00D172E6" w14:paraId="62C17FF3" w14:textId="77777777" w:rsidTr="00F60FFF">
        <w:trPr>
          <w:trHeight w:val="292"/>
        </w:trPr>
        <w:tc>
          <w:tcPr>
            <w:tcW w:w="10314" w:type="dxa"/>
            <w:gridSpan w:val="5"/>
            <w:tcBorders>
              <w:top w:val="single" w:sz="24" w:space="0" w:color="31849B" w:themeColor="accent5" w:themeShade="BF"/>
              <w:left w:val="single" w:sz="24" w:space="0" w:color="31849B" w:themeColor="accent5" w:themeShade="BF"/>
              <w:bottom w:val="single" w:sz="24" w:space="0" w:color="31849B" w:themeColor="accent5" w:themeShade="BF"/>
              <w:right w:val="single" w:sz="24" w:space="0" w:color="31849B" w:themeColor="accent5" w:themeShade="BF"/>
            </w:tcBorders>
          </w:tcPr>
          <w:p w14:paraId="23E6A7D6" w14:textId="77777777" w:rsidR="00D172E6" w:rsidRPr="00D172E6" w:rsidRDefault="00D172E6" w:rsidP="00D172E6">
            <w:pPr>
              <w:spacing w:line="276" w:lineRule="auto"/>
              <w:ind w:firstLine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b/>
                <w:sz w:val="20"/>
                <w:szCs w:val="20"/>
              </w:rPr>
              <w:t>MONITORING</w:t>
            </w:r>
          </w:p>
        </w:tc>
      </w:tr>
      <w:tr w:rsidR="00D172E6" w:rsidRPr="00D172E6" w14:paraId="4307FD67" w14:textId="77777777" w:rsidTr="00F60FFF">
        <w:trPr>
          <w:trHeight w:val="851"/>
        </w:trPr>
        <w:tc>
          <w:tcPr>
            <w:tcW w:w="2405" w:type="dxa"/>
            <w:tcBorders>
              <w:top w:val="single" w:sz="24" w:space="0" w:color="31849B" w:themeColor="accent5" w:themeShade="BF"/>
            </w:tcBorders>
            <w:vAlign w:val="center"/>
          </w:tcPr>
          <w:p w14:paraId="34568ADC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7719DDE1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Budżet LSR</w:t>
            </w:r>
          </w:p>
        </w:tc>
        <w:tc>
          <w:tcPr>
            <w:tcW w:w="1559" w:type="dxa"/>
            <w:tcBorders>
              <w:top w:val="single" w:sz="24" w:space="0" w:color="31849B" w:themeColor="accent5" w:themeShade="BF"/>
            </w:tcBorders>
            <w:vAlign w:val="center"/>
          </w:tcPr>
          <w:p w14:paraId="3661F747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Pracownicy biura LGD</w:t>
            </w:r>
          </w:p>
        </w:tc>
        <w:tc>
          <w:tcPr>
            <w:tcW w:w="2835" w:type="dxa"/>
            <w:tcBorders>
              <w:top w:val="single" w:sz="24" w:space="0" w:color="31849B" w:themeColor="accent5" w:themeShade="BF"/>
            </w:tcBorders>
            <w:vAlign w:val="center"/>
          </w:tcPr>
          <w:p w14:paraId="6758200E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Plan działania</w:t>
            </w:r>
          </w:p>
          <w:p w14:paraId="3AD29AF1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informacje od instytucji wdrażającej o zawartych umowach i wypłatach</w:t>
            </w:r>
          </w:p>
          <w:p w14:paraId="3C8EF1EF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Lista operacji wybranych</w:t>
            </w:r>
          </w:p>
        </w:tc>
        <w:tc>
          <w:tcPr>
            <w:tcW w:w="2127" w:type="dxa"/>
            <w:tcBorders>
              <w:top w:val="single" w:sz="24" w:space="0" w:color="31849B" w:themeColor="accent5" w:themeShade="BF"/>
            </w:tcBorders>
            <w:vAlign w:val="center"/>
          </w:tcPr>
          <w:p w14:paraId="52E42442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analiza stopnia wykorzystania budżetu na podstawie zebranych danych źródłowych</w:t>
            </w:r>
          </w:p>
          <w:p w14:paraId="154FC7EE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sprawozdanie z realizacji LSR</w:t>
            </w:r>
          </w:p>
        </w:tc>
        <w:tc>
          <w:tcPr>
            <w:tcW w:w="1388" w:type="dxa"/>
            <w:tcBorders>
              <w:top w:val="single" w:sz="24" w:space="0" w:color="31849B" w:themeColor="accent5" w:themeShade="BF"/>
            </w:tcBorders>
            <w:vAlign w:val="center"/>
          </w:tcPr>
          <w:p w14:paraId="30B5A1AB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Na bieżąco (sprawozdanie z realizacji LSR do ostatniego dnia lutego)</w:t>
            </w:r>
          </w:p>
        </w:tc>
      </w:tr>
      <w:tr w:rsidR="00D172E6" w:rsidRPr="00D172E6" w14:paraId="07CF5E72" w14:textId="77777777" w:rsidTr="00F60FFF">
        <w:trPr>
          <w:trHeight w:val="851"/>
        </w:trPr>
        <w:tc>
          <w:tcPr>
            <w:tcW w:w="2405" w:type="dxa"/>
            <w:vAlign w:val="center"/>
          </w:tcPr>
          <w:p w14:paraId="249141EB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739AA49E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Wskaźniki realizacji LSR</w:t>
            </w:r>
          </w:p>
        </w:tc>
        <w:tc>
          <w:tcPr>
            <w:tcW w:w="1559" w:type="dxa"/>
            <w:vAlign w:val="center"/>
          </w:tcPr>
          <w:p w14:paraId="0EAA2FD9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Pracownicy biura LGD</w:t>
            </w:r>
          </w:p>
        </w:tc>
        <w:tc>
          <w:tcPr>
            <w:tcW w:w="2835" w:type="dxa"/>
            <w:vAlign w:val="center"/>
          </w:tcPr>
          <w:p w14:paraId="31FA416B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Matryca celów w LSR,</w:t>
            </w:r>
          </w:p>
          <w:p w14:paraId="68AC7871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listy operacji wybranych</w:t>
            </w:r>
          </w:p>
          <w:p w14:paraId="3B956756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informacje od instytucji wdrażającej o zawartych umowach i wypłatach</w:t>
            </w:r>
          </w:p>
        </w:tc>
        <w:tc>
          <w:tcPr>
            <w:tcW w:w="2127" w:type="dxa"/>
            <w:vAlign w:val="center"/>
          </w:tcPr>
          <w:p w14:paraId="6DAA1160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analiza zakładanych wielkości oraz rzeczywiście osiągniętych na podstawie zebranych danych źródłowych</w:t>
            </w:r>
          </w:p>
          <w:p w14:paraId="3069867D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Sprawozdanie z realizacji LSR</w:t>
            </w:r>
          </w:p>
        </w:tc>
        <w:tc>
          <w:tcPr>
            <w:tcW w:w="1388" w:type="dxa"/>
            <w:vAlign w:val="center"/>
          </w:tcPr>
          <w:p w14:paraId="5B593191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Na bieżąco (sprawozdanie z realizacji LSR do ostatniego dnia lutego)</w:t>
            </w:r>
          </w:p>
        </w:tc>
      </w:tr>
      <w:tr w:rsidR="00D172E6" w:rsidRPr="00D172E6" w14:paraId="656954B9" w14:textId="77777777" w:rsidTr="00F60FFF">
        <w:trPr>
          <w:trHeight w:val="851"/>
        </w:trPr>
        <w:tc>
          <w:tcPr>
            <w:tcW w:w="2405" w:type="dxa"/>
            <w:vAlign w:val="center"/>
          </w:tcPr>
          <w:p w14:paraId="3966FBEE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3EDB9BFF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Harmonogram naboru wniosków</w:t>
            </w:r>
          </w:p>
        </w:tc>
        <w:tc>
          <w:tcPr>
            <w:tcW w:w="1559" w:type="dxa"/>
            <w:vAlign w:val="center"/>
          </w:tcPr>
          <w:p w14:paraId="09FC6ADE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Pracownicy biura LGD</w:t>
            </w:r>
          </w:p>
        </w:tc>
        <w:tc>
          <w:tcPr>
            <w:tcW w:w="2835" w:type="dxa"/>
            <w:vAlign w:val="center"/>
          </w:tcPr>
          <w:p w14:paraId="339C8956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harmonogram naborów</w:t>
            </w:r>
          </w:p>
          <w:p w14:paraId="174D750C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Plan Komunikacji</w:t>
            </w:r>
          </w:p>
          <w:p w14:paraId="119007CE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 xml:space="preserve">- informacje od instytucji wdrażającej o zawartych umowach i  wypłatach </w:t>
            </w:r>
          </w:p>
        </w:tc>
        <w:tc>
          <w:tcPr>
            <w:tcW w:w="2127" w:type="dxa"/>
            <w:vAlign w:val="center"/>
          </w:tcPr>
          <w:p w14:paraId="5D883763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analiza zakładanych wielkości oraz rzeczywiście osiągniętych na podstawie zebranych danych źródłowych</w:t>
            </w:r>
          </w:p>
          <w:p w14:paraId="4DC1AABA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przeliczenie środków i zestawienie  finansowe kwot do wykorzystania</w:t>
            </w:r>
          </w:p>
        </w:tc>
        <w:tc>
          <w:tcPr>
            <w:tcW w:w="1388" w:type="dxa"/>
            <w:vAlign w:val="center"/>
          </w:tcPr>
          <w:p w14:paraId="19BF92A4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Na bieżąco</w:t>
            </w:r>
          </w:p>
        </w:tc>
      </w:tr>
      <w:tr w:rsidR="00D172E6" w:rsidRPr="00D172E6" w14:paraId="1B508A66" w14:textId="77777777" w:rsidTr="00F60FFF">
        <w:trPr>
          <w:trHeight w:val="851"/>
        </w:trPr>
        <w:tc>
          <w:tcPr>
            <w:tcW w:w="2405" w:type="dxa"/>
            <w:vAlign w:val="center"/>
          </w:tcPr>
          <w:p w14:paraId="14E4316C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 xml:space="preserve">Działania </w:t>
            </w:r>
            <w:proofErr w:type="spellStart"/>
            <w:r w:rsidRPr="00D172E6">
              <w:rPr>
                <w:rFonts w:ascii="Arial Narrow" w:hAnsi="Arial Narrow" w:cs="Arial"/>
                <w:sz w:val="20"/>
                <w:szCs w:val="20"/>
              </w:rPr>
              <w:t>informacyjno</w:t>
            </w:r>
            <w:proofErr w:type="spellEnd"/>
            <w:r w:rsidRPr="00D172E6">
              <w:rPr>
                <w:rFonts w:ascii="Arial Narrow" w:hAnsi="Arial Narrow" w:cs="Arial"/>
                <w:sz w:val="20"/>
                <w:szCs w:val="20"/>
              </w:rPr>
              <w:t xml:space="preserve"> – promocyjne określone w Planie Komunikacji</w:t>
            </w:r>
          </w:p>
        </w:tc>
        <w:tc>
          <w:tcPr>
            <w:tcW w:w="1559" w:type="dxa"/>
            <w:vAlign w:val="center"/>
          </w:tcPr>
          <w:p w14:paraId="1148CB83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Pracownicy biura LGD</w:t>
            </w:r>
          </w:p>
        </w:tc>
        <w:tc>
          <w:tcPr>
            <w:tcW w:w="2835" w:type="dxa"/>
            <w:vAlign w:val="center"/>
          </w:tcPr>
          <w:p w14:paraId="30B41ACF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Plan Komunikacji</w:t>
            </w:r>
          </w:p>
          <w:p w14:paraId="08755636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strona internetowa</w:t>
            </w:r>
          </w:p>
          <w:p w14:paraId="18791562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Facebook</w:t>
            </w:r>
          </w:p>
        </w:tc>
        <w:tc>
          <w:tcPr>
            <w:tcW w:w="2127" w:type="dxa"/>
            <w:vAlign w:val="center"/>
          </w:tcPr>
          <w:p w14:paraId="78361A2E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analiza zakładanych wielkości oraz rzeczywiście osiągniętych na podstawie zebranych danych źródłowych</w:t>
            </w:r>
          </w:p>
        </w:tc>
        <w:tc>
          <w:tcPr>
            <w:tcW w:w="1388" w:type="dxa"/>
            <w:vAlign w:val="center"/>
          </w:tcPr>
          <w:p w14:paraId="4E973EC9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Raport sporządzany co pół roku.</w:t>
            </w:r>
          </w:p>
        </w:tc>
      </w:tr>
      <w:tr w:rsidR="00D172E6" w:rsidRPr="00D172E6" w14:paraId="0147BABB" w14:textId="77777777" w:rsidTr="00F60FFF">
        <w:trPr>
          <w:trHeight w:val="851"/>
        </w:trPr>
        <w:tc>
          <w:tcPr>
            <w:tcW w:w="2405" w:type="dxa"/>
            <w:vAlign w:val="center"/>
          </w:tcPr>
          <w:p w14:paraId="7BDA3BAD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7E3046C4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Doradztwo LGD</w:t>
            </w:r>
          </w:p>
        </w:tc>
        <w:tc>
          <w:tcPr>
            <w:tcW w:w="1559" w:type="dxa"/>
            <w:vAlign w:val="center"/>
          </w:tcPr>
          <w:p w14:paraId="1D17D533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Pracownicy biura LGD</w:t>
            </w:r>
          </w:p>
        </w:tc>
        <w:tc>
          <w:tcPr>
            <w:tcW w:w="2835" w:type="dxa"/>
            <w:vAlign w:val="center"/>
          </w:tcPr>
          <w:p w14:paraId="365AD314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karty doradztwa</w:t>
            </w:r>
          </w:p>
          <w:p w14:paraId="55608007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ankieta efektywności doradztwa</w:t>
            </w:r>
          </w:p>
          <w:p w14:paraId="721C7D9B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lista doradztwa</w:t>
            </w:r>
          </w:p>
          <w:p w14:paraId="4A0BA72F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informacje od instytucji wdrażającej o zawartych umowach i  wypłatach</w:t>
            </w:r>
          </w:p>
        </w:tc>
        <w:tc>
          <w:tcPr>
            <w:tcW w:w="2127" w:type="dxa"/>
            <w:vAlign w:val="center"/>
          </w:tcPr>
          <w:p w14:paraId="3C1983ED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analiza zebranych danych źródłowych</w:t>
            </w:r>
          </w:p>
          <w:p w14:paraId="39E6EA5F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sprawozdanie z doradztwa</w:t>
            </w:r>
          </w:p>
        </w:tc>
        <w:tc>
          <w:tcPr>
            <w:tcW w:w="1388" w:type="dxa"/>
            <w:vAlign w:val="center"/>
          </w:tcPr>
          <w:p w14:paraId="6ABA1F18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Raport sporządzany co pół roku.</w:t>
            </w:r>
          </w:p>
        </w:tc>
      </w:tr>
      <w:tr w:rsidR="00D172E6" w:rsidRPr="00D172E6" w14:paraId="503A9867" w14:textId="77777777" w:rsidTr="00F60FFF">
        <w:tc>
          <w:tcPr>
            <w:tcW w:w="2405" w:type="dxa"/>
            <w:vAlign w:val="center"/>
          </w:tcPr>
          <w:p w14:paraId="37D357B3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41D8379C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Działalność organów LGD</w:t>
            </w:r>
          </w:p>
        </w:tc>
        <w:tc>
          <w:tcPr>
            <w:tcW w:w="1559" w:type="dxa"/>
            <w:vAlign w:val="center"/>
          </w:tcPr>
          <w:p w14:paraId="1EDA28DA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325DEA1E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Pracownicy biura LGD</w:t>
            </w:r>
          </w:p>
        </w:tc>
        <w:tc>
          <w:tcPr>
            <w:tcW w:w="2835" w:type="dxa"/>
            <w:vAlign w:val="center"/>
          </w:tcPr>
          <w:p w14:paraId="57EB6035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7BD6ACE3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listy obecności z posiedzeń</w:t>
            </w:r>
          </w:p>
          <w:p w14:paraId="75B38649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protokoły i uchwały</w:t>
            </w:r>
          </w:p>
        </w:tc>
        <w:tc>
          <w:tcPr>
            <w:tcW w:w="2127" w:type="dxa"/>
            <w:vAlign w:val="center"/>
          </w:tcPr>
          <w:p w14:paraId="0333883F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analiza frekwencji na posiedzeniach poszczególnych organów</w:t>
            </w:r>
          </w:p>
          <w:p w14:paraId="6AFE97C0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 xml:space="preserve">- Sprawozdanie roczne </w:t>
            </w:r>
          </w:p>
        </w:tc>
        <w:tc>
          <w:tcPr>
            <w:tcW w:w="1388" w:type="dxa"/>
            <w:vAlign w:val="center"/>
          </w:tcPr>
          <w:p w14:paraId="441089CD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4983615A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Sprawozdanie raz w roku</w:t>
            </w:r>
          </w:p>
        </w:tc>
      </w:tr>
      <w:tr w:rsidR="00D172E6" w:rsidRPr="00D172E6" w14:paraId="06F18CA6" w14:textId="77777777" w:rsidTr="00F60FFF">
        <w:tc>
          <w:tcPr>
            <w:tcW w:w="2405" w:type="dxa"/>
            <w:tcBorders>
              <w:bottom w:val="single" w:sz="24" w:space="0" w:color="E36C0A" w:themeColor="accent6" w:themeShade="BF"/>
            </w:tcBorders>
            <w:vAlign w:val="center"/>
          </w:tcPr>
          <w:p w14:paraId="72F59808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Szkolenia LGD</w:t>
            </w:r>
          </w:p>
        </w:tc>
        <w:tc>
          <w:tcPr>
            <w:tcW w:w="1559" w:type="dxa"/>
            <w:tcBorders>
              <w:bottom w:val="single" w:sz="24" w:space="0" w:color="E36C0A" w:themeColor="accent6" w:themeShade="BF"/>
            </w:tcBorders>
            <w:vAlign w:val="center"/>
          </w:tcPr>
          <w:p w14:paraId="52D66B55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Pracownicy biura LGD</w:t>
            </w:r>
          </w:p>
        </w:tc>
        <w:tc>
          <w:tcPr>
            <w:tcW w:w="2835" w:type="dxa"/>
            <w:tcBorders>
              <w:bottom w:val="single" w:sz="24" w:space="0" w:color="E36C0A" w:themeColor="accent6" w:themeShade="BF"/>
            </w:tcBorders>
            <w:vAlign w:val="center"/>
          </w:tcPr>
          <w:p w14:paraId="06E0829C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listy obecności na szkoleniach</w:t>
            </w:r>
          </w:p>
          <w:p w14:paraId="6DFF4F45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ankieta oceniająca</w:t>
            </w:r>
          </w:p>
          <w:p w14:paraId="7690F789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Plan Szkoleń</w:t>
            </w:r>
          </w:p>
        </w:tc>
        <w:tc>
          <w:tcPr>
            <w:tcW w:w="2127" w:type="dxa"/>
            <w:tcBorders>
              <w:bottom w:val="single" w:sz="24" w:space="0" w:color="E36C0A" w:themeColor="accent6" w:themeShade="BF"/>
            </w:tcBorders>
            <w:vAlign w:val="center"/>
          </w:tcPr>
          <w:p w14:paraId="32752B25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analiza frekwencji na szkoleniach oraz zgodności z Planem szkoleń</w:t>
            </w:r>
          </w:p>
          <w:p w14:paraId="54050554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sprawozdanie</w:t>
            </w:r>
          </w:p>
        </w:tc>
        <w:tc>
          <w:tcPr>
            <w:tcW w:w="1388" w:type="dxa"/>
            <w:tcBorders>
              <w:bottom w:val="single" w:sz="24" w:space="0" w:color="E36C0A" w:themeColor="accent6" w:themeShade="BF"/>
            </w:tcBorders>
            <w:vAlign w:val="center"/>
          </w:tcPr>
          <w:p w14:paraId="5FAA4E04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237FDBE0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Na bieżąco</w:t>
            </w:r>
          </w:p>
          <w:p w14:paraId="7B22F3D8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(raport co pół roku)</w:t>
            </w:r>
          </w:p>
        </w:tc>
      </w:tr>
      <w:tr w:rsidR="00D172E6" w:rsidRPr="00D172E6" w14:paraId="4858554F" w14:textId="77777777" w:rsidTr="00F60FFF">
        <w:trPr>
          <w:trHeight w:val="265"/>
        </w:trPr>
        <w:tc>
          <w:tcPr>
            <w:tcW w:w="10314" w:type="dxa"/>
            <w:gridSpan w:val="5"/>
            <w:tcBorders>
              <w:top w:val="single" w:sz="24" w:space="0" w:color="E36C0A" w:themeColor="accent6" w:themeShade="BF"/>
              <w:left w:val="single" w:sz="24" w:space="0" w:color="E36C0A" w:themeColor="accent6" w:themeShade="BF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14:paraId="7BAD746C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b/>
                <w:sz w:val="20"/>
                <w:szCs w:val="20"/>
              </w:rPr>
              <w:t xml:space="preserve">EWALUACJA elementów funkcjonowania LGD </w:t>
            </w:r>
          </w:p>
        </w:tc>
      </w:tr>
      <w:tr w:rsidR="00D172E6" w:rsidRPr="00D172E6" w14:paraId="63790EF0" w14:textId="77777777" w:rsidTr="00F60FFF">
        <w:trPr>
          <w:trHeight w:val="782"/>
        </w:trPr>
        <w:tc>
          <w:tcPr>
            <w:tcW w:w="2405" w:type="dxa"/>
            <w:tcBorders>
              <w:top w:val="single" w:sz="24" w:space="0" w:color="E36C0A" w:themeColor="accent6" w:themeShade="BF"/>
            </w:tcBorders>
            <w:vAlign w:val="center"/>
          </w:tcPr>
          <w:p w14:paraId="7FCD9E1F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Wypełnianie obowiązków przez pracowników biura</w:t>
            </w:r>
          </w:p>
          <w:p w14:paraId="0E381715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4" w:space="0" w:color="E36C0A" w:themeColor="accent6" w:themeShade="BF"/>
            </w:tcBorders>
            <w:vAlign w:val="center"/>
          </w:tcPr>
          <w:p w14:paraId="18DA3202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Zarząd LGD (ewaluacja własna)</w:t>
            </w:r>
          </w:p>
        </w:tc>
        <w:tc>
          <w:tcPr>
            <w:tcW w:w="2835" w:type="dxa"/>
            <w:tcBorders>
              <w:top w:val="single" w:sz="24" w:space="0" w:color="E36C0A" w:themeColor="accent6" w:themeShade="BF"/>
            </w:tcBorders>
            <w:vAlign w:val="center"/>
          </w:tcPr>
          <w:p w14:paraId="05BD451B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ankieta oceniająca efektywność pracy biura,</w:t>
            </w:r>
          </w:p>
          <w:p w14:paraId="4910D022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obserwacja członków Zarządu.</w:t>
            </w:r>
          </w:p>
        </w:tc>
        <w:tc>
          <w:tcPr>
            <w:tcW w:w="2127" w:type="dxa"/>
            <w:tcBorders>
              <w:top w:val="single" w:sz="24" w:space="0" w:color="E36C0A" w:themeColor="accent6" w:themeShade="BF"/>
            </w:tcBorders>
            <w:vAlign w:val="center"/>
          </w:tcPr>
          <w:p w14:paraId="250D9274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analiza danych źródłowych,</w:t>
            </w:r>
          </w:p>
          <w:p w14:paraId="14B82769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opinia Zarządu</w:t>
            </w:r>
          </w:p>
          <w:p w14:paraId="77CCB49E" w14:textId="77777777" w:rsidR="00D172E6" w:rsidRPr="00D172E6" w:rsidRDefault="00D172E6" w:rsidP="009D0D5F">
            <w:pPr>
              <w:spacing w:line="276" w:lineRule="auto"/>
              <w:ind w:left="-109" w:right="-102" w:firstLine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4" w:space="0" w:color="E36C0A" w:themeColor="accent6" w:themeShade="BF"/>
            </w:tcBorders>
            <w:vAlign w:val="center"/>
          </w:tcPr>
          <w:p w14:paraId="033A0A90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  <w:p w14:paraId="64B3DED9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Na bieżąco</w:t>
            </w:r>
          </w:p>
        </w:tc>
      </w:tr>
      <w:tr w:rsidR="00D172E6" w:rsidRPr="00D172E6" w14:paraId="3303ACD6" w14:textId="77777777" w:rsidTr="00F60FFF">
        <w:trPr>
          <w:trHeight w:val="782"/>
        </w:trPr>
        <w:tc>
          <w:tcPr>
            <w:tcW w:w="2405" w:type="dxa"/>
            <w:tcBorders>
              <w:bottom w:val="single" w:sz="24" w:space="0" w:color="E36C0A" w:themeColor="accent6" w:themeShade="BF"/>
            </w:tcBorders>
            <w:vAlign w:val="center"/>
          </w:tcPr>
          <w:p w14:paraId="363EF171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Funkcjonowanie LGD</w:t>
            </w:r>
          </w:p>
        </w:tc>
        <w:tc>
          <w:tcPr>
            <w:tcW w:w="1559" w:type="dxa"/>
            <w:tcBorders>
              <w:bottom w:val="single" w:sz="24" w:space="0" w:color="E36C0A" w:themeColor="accent6" w:themeShade="BF"/>
            </w:tcBorders>
            <w:vAlign w:val="center"/>
          </w:tcPr>
          <w:p w14:paraId="27C1573E" w14:textId="2BADAD2D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="009D0D5F" w:rsidRPr="00D172E6">
              <w:rPr>
                <w:rFonts w:ascii="Arial Narrow" w:hAnsi="Arial Narrow" w:cs="Arial"/>
                <w:sz w:val="20"/>
                <w:szCs w:val="20"/>
              </w:rPr>
              <w:t>Zarząd</w:t>
            </w:r>
          </w:p>
          <w:p w14:paraId="3F3C9B2C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 xml:space="preserve">- Komisja </w:t>
            </w:r>
            <w:r w:rsidRPr="00D172E6">
              <w:rPr>
                <w:rFonts w:ascii="Arial Narrow" w:hAnsi="Arial Narrow" w:cs="Arial"/>
                <w:sz w:val="20"/>
                <w:szCs w:val="20"/>
              </w:rPr>
              <w:br/>
              <w:t xml:space="preserve">  Rewizyjna</w:t>
            </w:r>
          </w:p>
        </w:tc>
        <w:tc>
          <w:tcPr>
            <w:tcW w:w="2835" w:type="dxa"/>
            <w:tcBorders>
              <w:bottom w:val="single" w:sz="24" w:space="0" w:color="E36C0A" w:themeColor="accent6" w:themeShade="BF"/>
            </w:tcBorders>
            <w:vAlign w:val="center"/>
          </w:tcPr>
          <w:p w14:paraId="1319C2ED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umowa o przyznaniu pomocy</w:t>
            </w:r>
          </w:p>
          <w:p w14:paraId="5E57ACB4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sprawozdanie z realizacji LSR</w:t>
            </w:r>
          </w:p>
          <w:p w14:paraId="64894E7A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wnioski o płatność</w:t>
            </w:r>
          </w:p>
          <w:p w14:paraId="02949D67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bilans budżetowy</w:t>
            </w:r>
          </w:p>
          <w:p w14:paraId="1A672E4B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warsztaty refleksyjne</w:t>
            </w:r>
          </w:p>
        </w:tc>
        <w:tc>
          <w:tcPr>
            <w:tcW w:w="2127" w:type="dxa"/>
            <w:tcBorders>
              <w:bottom w:val="single" w:sz="24" w:space="0" w:color="E36C0A" w:themeColor="accent6" w:themeShade="BF"/>
            </w:tcBorders>
            <w:vAlign w:val="center"/>
          </w:tcPr>
          <w:p w14:paraId="0367BDBB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analiza zebranych danych źródłowych</w:t>
            </w:r>
          </w:p>
          <w:p w14:paraId="3DE6682E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analiza wniosków z warsztatów refleksyjnych</w:t>
            </w:r>
          </w:p>
          <w:p w14:paraId="4B377DDC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sprawozdanie Komisji Rewizyjnej</w:t>
            </w:r>
          </w:p>
          <w:p w14:paraId="2AE42FE6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prezentacja na Walne Zebranie Członków</w:t>
            </w:r>
          </w:p>
        </w:tc>
        <w:tc>
          <w:tcPr>
            <w:tcW w:w="1388" w:type="dxa"/>
            <w:tcBorders>
              <w:bottom w:val="single" w:sz="24" w:space="0" w:color="E36C0A" w:themeColor="accent6" w:themeShade="BF"/>
            </w:tcBorders>
            <w:vAlign w:val="center"/>
          </w:tcPr>
          <w:p w14:paraId="0F0E4F44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Raz w roku</w:t>
            </w:r>
          </w:p>
        </w:tc>
      </w:tr>
      <w:tr w:rsidR="00D172E6" w:rsidRPr="00D172E6" w14:paraId="3912C065" w14:textId="77777777" w:rsidTr="00F60FFF">
        <w:trPr>
          <w:trHeight w:val="77"/>
        </w:trPr>
        <w:tc>
          <w:tcPr>
            <w:tcW w:w="10314" w:type="dxa"/>
            <w:gridSpan w:val="5"/>
            <w:tcBorders>
              <w:top w:val="single" w:sz="24" w:space="0" w:color="E36C0A" w:themeColor="accent6" w:themeShade="BF"/>
              <w:left w:val="single" w:sz="24" w:space="0" w:color="E36C0A" w:themeColor="accent6" w:themeShade="BF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14:paraId="2F0A4C02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b/>
                <w:sz w:val="20"/>
                <w:szCs w:val="20"/>
              </w:rPr>
              <w:t>EWALUACJA on-</w:t>
            </w:r>
            <w:proofErr w:type="spellStart"/>
            <w:r w:rsidRPr="00D172E6">
              <w:rPr>
                <w:rFonts w:ascii="Arial Narrow" w:hAnsi="Arial Narrow" w:cs="Arial"/>
                <w:b/>
                <w:sz w:val="20"/>
                <w:szCs w:val="20"/>
              </w:rPr>
              <w:t>going</w:t>
            </w:r>
            <w:proofErr w:type="spellEnd"/>
          </w:p>
        </w:tc>
      </w:tr>
      <w:tr w:rsidR="00D172E6" w:rsidRPr="00D172E6" w14:paraId="50C14CC3" w14:textId="77777777" w:rsidTr="00F60FFF">
        <w:trPr>
          <w:trHeight w:val="863"/>
        </w:trPr>
        <w:tc>
          <w:tcPr>
            <w:tcW w:w="2405" w:type="dxa"/>
            <w:tcBorders>
              <w:top w:val="single" w:sz="24" w:space="0" w:color="E36C0A" w:themeColor="accent6" w:themeShade="BF"/>
              <w:bottom w:val="single" w:sz="2" w:space="0" w:color="auto"/>
            </w:tcBorders>
            <w:vAlign w:val="center"/>
          </w:tcPr>
          <w:p w14:paraId="1F6BAA1A" w14:textId="1D476F66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Realizacja LSR ( w</w:t>
            </w:r>
            <w:r w:rsidR="009D0D5F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D172E6">
              <w:rPr>
                <w:rFonts w:ascii="Arial Narrow" w:hAnsi="Arial Narrow" w:cs="Arial"/>
                <w:sz w:val="20"/>
                <w:szCs w:val="20"/>
              </w:rPr>
              <w:t>szczególności celów, wskaźników, przedsięwzięć, budżetu)</w:t>
            </w:r>
          </w:p>
        </w:tc>
        <w:tc>
          <w:tcPr>
            <w:tcW w:w="1559" w:type="dxa"/>
            <w:tcBorders>
              <w:top w:val="single" w:sz="24" w:space="0" w:color="E36C0A" w:themeColor="accent6" w:themeShade="BF"/>
              <w:bottom w:val="single" w:sz="2" w:space="0" w:color="auto"/>
            </w:tcBorders>
            <w:vAlign w:val="center"/>
          </w:tcPr>
          <w:p w14:paraId="00695EE5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Zarząd</w:t>
            </w:r>
          </w:p>
        </w:tc>
        <w:tc>
          <w:tcPr>
            <w:tcW w:w="2835" w:type="dxa"/>
            <w:tcBorders>
              <w:top w:val="single" w:sz="24" w:space="0" w:color="E36C0A" w:themeColor="accent6" w:themeShade="BF"/>
              <w:bottom w:val="single" w:sz="2" w:space="0" w:color="auto"/>
            </w:tcBorders>
            <w:vAlign w:val="center"/>
          </w:tcPr>
          <w:p w14:paraId="656A3A8D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Matryca celów</w:t>
            </w:r>
          </w:p>
          <w:p w14:paraId="37551861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Plan Działania</w:t>
            </w:r>
          </w:p>
          <w:p w14:paraId="56950B57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Budżet LSR</w:t>
            </w:r>
          </w:p>
          <w:p w14:paraId="2EE0FB19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listy operacji wybranych</w:t>
            </w:r>
          </w:p>
          <w:p w14:paraId="080DB68B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 xml:space="preserve">- informacje od instytucji wdrażającej o zawartych umowach </w:t>
            </w:r>
            <w:r w:rsidRPr="00D172E6">
              <w:rPr>
                <w:rFonts w:ascii="Arial Narrow" w:hAnsi="Arial Narrow" w:cs="Arial"/>
                <w:sz w:val="20"/>
                <w:szCs w:val="20"/>
              </w:rPr>
              <w:br/>
              <w:t>i  wypłatach</w:t>
            </w:r>
          </w:p>
        </w:tc>
        <w:tc>
          <w:tcPr>
            <w:tcW w:w="2127" w:type="dxa"/>
            <w:tcBorders>
              <w:top w:val="single" w:sz="24" w:space="0" w:color="E36C0A" w:themeColor="accent6" w:themeShade="BF"/>
              <w:bottom w:val="single" w:sz="2" w:space="0" w:color="auto"/>
            </w:tcBorders>
            <w:vAlign w:val="center"/>
          </w:tcPr>
          <w:p w14:paraId="1120986A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analiza zakładanych wielkości oraz rzeczywiście osiągniętych na podstawie zebranych danych źródłowych</w:t>
            </w:r>
          </w:p>
          <w:p w14:paraId="2A83CA8A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sprawozdanie z realizacji LSR</w:t>
            </w:r>
          </w:p>
        </w:tc>
        <w:tc>
          <w:tcPr>
            <w:tcW w:w="1388" w:type="dxa"/>
            <w:tcBorders>
              <w:top w:val="single" w:sz="24" w:space="0" w:color="E36C0A" w:themeColor="accent6" w:themeShade="BF"/>
              <w:bottom w:val="single" w:sz="2" w:space="0" w:color="auto"/>
            </w:tcBorders>
            <w:vAlign w:val="center"/>
          </w:tcPr>
          <w:p w14:paraId="1CFDD42C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Raz w roku</w:t>
            </w:r>
          </w:p>
        </w:tc>
      </w:tr>
      <w:tr w:rsidR="00D172E6" w:rsidRPr="00D172E6" w14:paraId="1F520224" w14:textId="77777777" w:rsidTr="00F60FFF">
        <w:trPr>
          <w:trHeight w:val="863"/>
        </w:trPr>
        <w:tc>
          <w:tcPr>
            <w:tcW w:w="2405" w:type="dxa"/>
            <w:tcBorders>
              <w:top w:val="single" w:sz="2" w:space="0" w:color="auto"/>
              <w:bottom w:val="single" w:sz="24" w:space="0" w:color="E36C0A" w:themeColor="accent6" w:themeShade="BF"/>
            </w:tcBorders>
            <w:vAlign w:val="center"/>
          </w:tcPr>
          <w:p w14:paraId="22AAB832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 xml:space="preserve">Realizacja naborów </w:t>
            </w:r>
            <w:r w:rsidRPr="00D172E6">
              <w:rPr>
                <w:rFonts w:ascii="Arial Narrow" w:hAnsi="Arial Narrow" w:cs="Arial"/>
                <w:sz w:val="20"/>
                <w:szCs w:val="20"/>
              </w:rPr>
              <w:br/>
              <w:t>( w szczególności harmonogramu naborów, kryteriów wyboru i procedur)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24" w:space="0" w:color="E36C0A" w:themeColor="accent6" w:themeShade="BF"/>
            </w:tcBorders>
            <w:vAlign w:val="center"/>
          </w:tcPr>
          <w:p w14:paraId="0A692A76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 xml:space="preserve">Zarząd 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4" w:space="0" w:color="E36C0A" w:themeColor="accent6" w:themeShade="BF"/>
            </w:tcBorders>
            <w:vAlign w:val="center"/>
          </w:tcPr>
          <w:p w14:paraId="7F8EB19A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warsztat refleksyjny z udziałem pracowników biura, członków  Zarządu, rady i opcjonalnie przedstawicieli samorządu województwa, innych LGD, beneficjentów;</w:t>
            </w:r>
          </w:p>
          <w:p w14:paraId="20405EC1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 xml:space="preserve">- informacje przekazane przez Samorząd Województwa i/lub Agencję Płatniczą, </w:t>
            </w:r>
          </w:p>
          <w:p w14:paraId="607FC4B0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ankiety oceniające efektywność doradztwa</w:t>
            </w:r>
          </w:p>
        </w:tc>
        <w:tc>
          <w:tcPr>
            <w:tcW w:w="2127" w:type="dxa"/>
            <w:tcBorders>
              <w:top w:val="single" w:sz="2" w:space="0" w:color="auto"/>
              <w:bottom w:val="single" w:sz="24" w:space="0" w:color="E36C0A" w:themeColor="accent6" w:themeShade="BF"/>
            </w:tcBorders>
            <w:vAlign w:val="center"/>
          </w:tcPr>
          <w:p w14:paraId="20A98515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analiza wniosków z warsztatów refleksyjnych,</w:t>
            </w:r>
          </w:p>
          <w:p w14:paraId="226334BF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 xml:space="preserve">- analiza zgodności działań z harmonogramem, </w:t>
            </w:r>
          </w:p>
          <w:p w14:paraId="52EB4D1E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analiza jasności i przejrzystości kryteriów,</w:t>
            </w:r>
          </w:p>
          <w:p w14:paraId="27FA478D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 xml:space="preserve">- weryfikacja procedur </w:t>
            </w:r>
          </w:p>
        </w:tc>
        <w:tc>
          <w:tcPr>
            <w:tcW w:w="1388" w:type="dxa"/>
            <w:tcBorders>
              <w:top w:val="single" w:sz="2" w:space="0" w:color="auto"/>
              <w:bottom w:val="single" w:sz="24" w:space="0" w:color="E36C0A" w:themeColor="accent6" w:themeShade="BF"/>
            </w:tcBorders>
            <w:vAlign w:val="center"/>
          </w:tcPr>
          <w:p w14:paraId="4797A2EC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Raz w roku</w:t>
            </w:r>
          </w:p>
        </w:tc>
      </w:tr>
      <w:tr w:rsidR="00D172E6" w:rsidRPr="00D172E6" w14:paraId="4341AAD1" w14:textId="77777777" w:rsidTr="00F60FFF">
        <w:trPr>
          <w:trHeight w:val="77"/>
        </w:trPr>
        <w:tc>
          <w:tcPr>
            <w:tcW w:w="10314" w:type="dxa"/>
            <w:gridSpan w:val="5"/>
            <w:tcBorders>
              <w:top w:val="single" w:sz="24" w:space="0" w:color="E36C0A" w:themeColor="accent6" w:themeShade="BF"/>
              <w:left w:val="single" w:sz="24" w:space="0" w:color="E36C0A" w:themeColor="accent6" w:themeShade="BF"/>
              <w:bottom w:val="single" w:sz="24" w:space="0" w:color="E36C0A" w:themeColor="accent6" w:themeShade="BF"/>
              <w:right w:val="single" w:sz="24" w:space="0" w:color="E36C0A" w:themeColor="accent6" w:themeShade="BF"/>
            </w:tcBorders>
          </w:tcPr>
          <w:p w14:paraId="2828E0B8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b/>
                <w:sz w:val="20"/>
                <w:szCs w:val="20"/>
              </w:rPr>
              <w:t>EWALUACJA ex-post</w:t>
            </w:r>
          </w:p>
        </w:tc>
      </w:tr>
      <w:tr w:rsidR="00D172E6" w:rsidRPr="00D172E6" w14:paraId="72FB0611" w14:textId="77777777" w:rsidTr="00F60FFF">
        <w:trPr>
          <w:trHeight w:val="410"/>
        </w:trPr>
        <w:tc>
          <w:tcPr>
            <w:tcW w:w="2405" w:type="dxa"/>
            <w:tcBorders>
              <w:top w:val="single" w:sz="24" w:space="0" w:color="E36C0A" w:themeColor="accent6" w:themeShade="BF"/>
            </w:tcBorders>
            <w:vAlign w:val="center"/>
          </w:tcPr>
          <w:p w14:paraId="4942E1B3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 xml:space="preserve">- ocena wpływu na główny cel LSR </w:t>
            </w:r>
          </w:p>
          <w:p w14:paraId="25D97EB3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ocena wpływu na kapitał społeczny</w:t>
            </w:r>
          </w:p>
          <w:p w14:paraId="23DE575F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przedsiębiorczość</w:t>
            </w:r>
          </w:p>
          <w:p w14:paraId="23CA8FC9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turystyka i dziedzictwo kulturowe</w:t>
            </w:r>
          </w:p>
          <w:p w14:paraId="2CFAD54E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- grupy </w:t>
            </w:r>
            <w:proofErr w:type="spellStart"/>
            <w:r w:rsidRPr="00D172E6">
              <w:rPr>
                <w:rFonts w:ascii="Arial Narrow" w:hAnsi="Arial Narrow" w:cs="Arial"/>
                <w:sz w:val="20"/>
                <w:szCs w:val="20"/>
              </w:rPr>
              <w:t>defaworyzowane</w:t>
            </w:r>
            <w:proofErr w:type="spellEnd"/>
          </w:p>
          <w:p w14:paraId="2DD5EF86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innowacyjność</w:t>
            </w:r>
          </w:p>
          <w:p w14:paraId="0352A786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projekt współpracy</w:t>
            </w:r>
          </w:p>
          <w:p w14:paraId="14F169DE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ocena funkcjonowania LGD</w:t>
            </w:r>
          </w:p>
          <w:p w14:paraId="0C77273F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ocena procesu wdrażania LSR</w:t>
            </w:r>
          </w:p>
        </w:tc>
        <w:tc>
          <w:tcPr>
            <w:tcW w:w="1559" w:type="dxa"/>
            <w:tcBorders>
              <w:top w:val="single" w:sz="24" w:space="0" w:color="E36C0A" w:themeColor="accent6" w:themeShade="BF"/>
            </w:tcBorders>
            <w:vAlign w:val="center"/>
          </w:tcPr>
          <w:p w14:paraId="52294BD7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D172E6">
              <w:rPr>
                <w:rFonts w:ascii="Arial Narrow" w:hAnsi="Arial Narrow" w:cs="Arial"/>
                <w:sz w:val="20"/>
                <w:szCs w:val="20"/>
              </w:rPr>
              <w:lastRenderedPageBreak/>
              <w:t>Ewaluator</w:t>
            </w:r>
            <w:proofErr w:type="spellEnd"/>
            <w:r w:rsidRPr="00D172E6">
              <w:rPr>
                <w:rFonts w:ascii="Arial Narrow" w:hAnsi="Arial Narrow" w:cs="Arial"/>
                <w:sz w:val="20"/>
                <w:szCs w:val="20"/>
              </w:rPr>
              <w:t xml:space="preserve"> zewnętrzny</w:t>
            </w:r>
          </w:p>
        </w:tc>
        <w:tc>
          <w:tcPr>
            <w:tcW w:w="2835" w:type="dxa"/>
            <w:tcBorders>
              <w:top w:val="single" w:sz="24" w:space="0" w:color="E36C0A" w:themeColor="accent6" w:themeShade="BF"/>
            </w:tcBorders>
            <w:vAlign w:val="center"/>
          </w:tcPr>
          <w:p w14:paraId="154F5A8A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1. Dane zastane:</w:t>
            </w:r>
          </w:p>
          <w:p w14:paraId="20511509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 xml:space="preserve">- dokumentów programowych m.in. LSR, strategii rozwoju gmin i innych,  </w:t>
            </w:r>
          </w:p>
          <w:p w14:paraId="61A0B6E3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dokumentacji projektowej,</w:t>
            </w:r>
          </w:p>
          <w:p w14:paraId="6D94FA47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- danych ze statystyki publicznej.</w:t>
            </w:r>
          </w:p>
          <w:p w14:paraId="07527181" w14:textId="19EC6766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2.Indywidualne wywiady pogłębi</w:t>
            </w:r>
            <w:r w:rsidR="009D0D5F">
              <w:rPr>
                <w:rFonts w:ascii="Arial Narrow" w:hAnsi="Arial Narrow" w:cs="Arial"/>
                <w:sz w:val="20"/>
                <w:szCs w:val="20"/>
              </w:rPr>
              <w:t>o</w:t>
            </w:r>
            <w:r w:rsidRPr="00D172E6">
              <w:rPr>
                <w:rFonts w:ascii="Arial Narrow" w:hAnsi="Arial Narrow" w:cs="Arial"/>
                <w:sz w:val="20"/>
                <w:szCs w:val="20"/>
              </w:rPr>
              <w:t xml:space="preserve">ne </w:t>
            </w:r>
            <w:r w:rsidRPr="00D172E6">
              <w:rPr>
                <w:rFonts w:ascii="Arial Narrow" w:hAnsi="Arial Narrow" w:cs="Arial"/>
                <w:sz w:val="20"/>
                <w:szCs w:val="20"/>
              </w:rPr>
              <w:lastRenderedPageBreak/>
              <w:t>IDI</w:t>
            </w:r>
          </w:p>
          <w:p w14:paraId="00D91126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3. Ankiety</w:t>
            </w:r>
          </w:p>
          <w:p w14:paraId="22738386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4. Panel dyskusyjny z kluczowymi interesariuszami</w:t>
            </w:r>
          </w:p>
        </w:tc>
        <w:tc>
          <w:tcPr>
            <w:tcW w:w="2127" w:type="dxa"/>
            <w:tcBorders>
              <w:top w:val="single" w:sz="24" w:space="0" w:color="E36C0A" w:themeColor="accent6" w:themeShade="BF"/>
            </w:tcBorders>
            <w:vAlign w:val="center"/>
          </w:tcPr>
          <w:p w14:paraId="44895F4E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Analiza dokumentów źródłowych i stworzenie raportu ewaluacyjnego. </w:t>
            </w:r>
          </w:p>
          <w:p w14:paraId="651A1E72" w14:textId="77777777" w:rsidR="00D172E6" w:rsidRPr="00D172E6" w:rsidRDefault="00D172E6" w:rsidP="009D0D5F">
            <w:pPr>
              <w:spacing w:line="276" w:lineRule="auto"/>
              <w:ind w:firstLine="0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24" w:space="0" w:color="E36C0A" w:themeColor="accent6" w:themeShade="BF"/>
            </w:tcBorders>
            <w:vAlign w:val="center"/>
          </w:tcPr>
          <w:p w14:paraId="360EDB2C" w14:textId="77777777" w:rsidR="00D172E6" w:rsidRPr="00D172E6" w:rsidRDefault="00D172E6" w:rsidP="00D172E6">
            <w:pPr>
              <w:spacing w:line="276" w:lineRule="auto"/>
              <w:ind w:firstLine="0"/>
              <w:rPr>
                <w:rFonts w:ascii="Arial Narrow" w:hAnsi="Arial Narrow" w:cs="Arial"/>
                <w:sz w:val="20"/>
                <w:szCs w:val="20"/>
              </w:rPr>
            </w:pPr>
            <w:r w:rsidRPr="00D172E6">
              <w:rPr>
                <w:rFonts w:ascii="Arial Narrow" w:hAnsi="Arial Narrow" w:cs="Arial"/>
                <w:sz w:val="20"/>
                <w:szCs w:val="20"/>
              </w:rPr>
              <w:t>Do końca 2028 roku</w:t>
            </w:r>
          </w:p>
        </w:tc>
      </w:tr>
    </w:tbl>
    <w:p w14:paraId="2324A746" w14:textId="77777777" w:rsidR="00D172E6" w:rsidRPr="00D172E6" w:rsidRDefault="00D172E6" w:rsidP="00D172E6">
      <w:pPr>
        <w:rPr>
          <w:rFonts w:ascii="Arial Narrow" w:hAnsi="Arial Narrow" w:cs="Arial"/>
        </w:rPr>
      </w:pPr>
    </w:p>
    <w:p w14:paraId="5031EDE3" w14:textId="77777777" w:rsidR="00D172E6" w:rsidRPr="00D172E6" w:rsidRDefault="00D172E6" w:rsidP="00D172E6">
      <w:pPr>
        <w:spacing w:line="276" w:lineRule="auto"/>
        <w:ind w:firstLine="0"/>
        <w:rPr>
          <w:rFonts w:ascii="Arial Narrow" w:hAnsi="Arial Narrow" w:cs="Arial"/>
        </w:rPr>
      </w:pPr>
      <w:r w:rsidRPr="00D172E6">
        <w:rPr>
          <w:rFonts w:ascii="Arial Narrow" w:hAnsi="Arial Narrow" w:cs="Arial"/>
        </w:rPr>
        <w:t xml:space="preserve">W przypadku stwierdzenia w trakcie ewaluacji własnej niewystarczającej jakości podejmowanych działań, LGD podejmie intensywne działania, które zapewnią osiągnięcie założonych celów, np. wzmożenie promocji, zwiększenie liczby spotkań informacyjnych, szkoleń, ogłoszenie dodatkowych  naborów wniosków). </w:t>
      </w:r>
    </w:p>
    <w:p w14:paraId="268005EB" w14:textId="77777777" w:rsidR="005A5679" w:rsidRPr="00D172E6" w:rsidRDefault="00D172E6" w:rsidP="00D172E6">
      <w:pPr>
        <w:spacing w:line="276" w:lineRule="auto"/>
        <w:ind w:firstLine="0"/>
        <w:rPr>
          <w:rFonts w:ascii="Arial Narrow" w:hAnsi="Arial Narrow" w:cs="Arial"/>
        </w:rPr>
      </w:pPr>
      <w:r w:rsidRPr="00D172E6">
        <w:rPr>
          <w:rFonts w:ascii="Arial Narrow" w:hAnsi="Arial Narrow" w:cs="Arial"/>
        </w:rPr>
        <w:t>Raport z ewaluacji zewnętrz</w:t>
      </w:r>
      <w:r>
        <w:rPr>
          <w:rFonts w:ascii="Arial Narrow" w:hAnsi="Arial Narrow" w:cs="Arial"/>
        </w:rPr>
        <w:t>n</w:t>
      </w:r>
      <w:r w:rsidRPr="00D172E6">
        <w:rPr>
          <w:rFonts w:ascii="Arial Narrow" w:hAnsi="Arial Narrow" w:cs="Arial"/>
        </w:rPr>
        <w:t xml:space="preserve">ej zostanie przekazany wszystkim organom LGD, Samorządowi Województwa oraz </w:t>
      </w:r>
      <w:proofErr w:type="spellStart"/>
      <w:r w:rsidRPr="00D172E6">
        <w:rPr>
          <w:rFonts w:ascii="Arial Narrow" w:hAnsi="Arial Narrow" w:cs="Arial"/>
        </w:rPr>
        <w:t>MRiRW</w:t>
      </w:r>
      <w:proofErr w:type="spellEnd"/>
      <w:r w:rsidRPr="00D172E6">
        <w:rPr>
          <w:rFonts w:ascii="Arial Narrow" w:hAnsi="Arial Narrow" w:cs="Arial"/>
        </w:rPr>
        <w:t>. Główne wnioski i rekomendacje dotyczące poprawy efektywności wdrażania LSR zostaną zaprezentowane członkom Stowarzyszenia KST-LGD na Walnym Zebraniu Członków. Na ich podstawie biuro, Zarząd i Komisja Rewizyjna będą mogły przygotować propozycje zmian w procesie wdrażania strategii, a następnie podjąć działania naprawcze, aby poprawić efektywność realizacji LSR.</w:t>
      </w:r>
    </w:p>
    <w:sectPr w:rsidR="005A5679" w:rsidRPr="00D172E6" w:rsidSect="00D172E6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17978"/>
    <w:multiLevelType w:val="multilevel"/>
    <w:tmpl w:val="322C40F2"/>
    <w:lvl w:ilvl="0">
      <w:start w:val="1"/>
      <w:numFmt w:val="upperRoman"/>
      <w:pStyle w:val="Nagwek1"/>
      <w:lvlText w:val="%1."/>
      <w:lvlJc w:val="righ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7E2E0BD9"/>
    <w:multiLevelType w:val="hybridMultilevel"/>
    <w:tmpl w:val="79AAE6A8"/>
    <w:lvl w:ilvl="0" w:tplc="B5B697C8">
      <w:start w:val="10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6532728">
    <w:abstractNumId w:val="0"/>
  </w:num>
  <w:num w:numId="2" w16cid:durableId="862669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10BE"/>
    <w:rsid w:val="005410BE"/>
    <w:rsid w:val="005A5679"/>
    <w:rsid w:val="009D0D5F"/>
    <w:rsid w:val="00D1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1A454"/>
  <w15:docId w15:val="{B5230732-7ECC-434C-91AF-D84148C6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2E6"/>
    <w:pPr>
      <w:spacing w:after="0" w:line="240" w:lineRule="auto"/>
      <w:ind w:firstLine="284"/>
      <w:jc w:val="both"/>
    </w:pPr>
    <w:rPr>
      <w:rFonts w:ascii="Calibri" w:eastAsia="Calibri" w:hAnsi="Calibri" w:cs="Times New Roman"/>
      <w:kern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72E6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72E6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172E6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172E6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72E6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72E6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72E6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72E6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72E6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72E6"/>
    <w:rPr>
      <w:rFonts w:asciiTheme="majorHAnsi" w:eastAsiaTheme="majorEastAsia" w:hAnsiTheme="majorHAnsi" w:cstheme="majorBidi"/>
      <w:b/>
      <w:bCs/>
      <w:color w:val="365F91" w:themeColor="accent1" w:themeShade="BF"/>
      <w:kern w:val="22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172E6"/>
    <w:rPr>
      <w:rFonts w:asciiTheme="majorHAnsi" w:eastAsiaTheme="majorEastAsia" w:hAnsiTheme="majorHAnsi" w:cstheme="majorBidi"/>
      <w:b/>
      <w:bCs/>
      <w:color w:val="4F81BD" w:themeColor="accent1"/>
      <w:kern w:val="22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172E6"/>
    <w:rPr>
      <w:rFonts w:asciiTheme="majorHAnsi" w:eastAsiaTheme="majorEastAsia" w:hAnsiTheme="majorHAnsi" w:cstheme="majorBidi"/>
      <w:b/>
      <w:bCs/>
      <w:color w:val="4F81BD" w:themeColor="accent1"/>
      <w:kern w:val="22"/>
    </w:rPr>
  </w:style>
  <w:style w:type="character" w:customStyle="1" w:styleId="Nagwek4Znak">
    <w:name w:val="Nagłówek 4 Znak"/>
    <w:basedOn w:val="Domylnaczcionkaakapitu"/>
    <w:link w:val="Nagwek4"/>
    <w:uiPriority w:val="9"/>
    <w:rsid w:val="00D172E6"/>
    <w:rPr>
      <w:rFonts w:asciiTheme="majorHAnsi" w:eastAsiaTheme="majorEastAsia" w:hAnsiTheme="majorHAnsi" w:cstheme="majorBidi"/>
      <w:b/>
      <w:bCs/>
      <w:i/>
      <w:iCs/>
      <w:color w:val="4F81BD" w:themeColor="accent1"/>
      <w:kern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72E6"/>
    <w:rPr>
      <w:rFonts w:asciiTheme="majorHAnsi" w:eastAsiaTheme="majorEastAsia" w:hAnsiTheme="majorHAnsi" w:cstheme="majorBidi"/>
      <w:color w:val="243F60" w:themeColor="accent1" w:themeShade="7F"/>
      <w:kern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72E6"/>
    <w:rPr>
      <w:rFonts w:asciiTheme="majorHAnsi" w:eastAsiaTheme="majorEastAsia" w:hAnsiTheme="majorHAnsi" w:cstheme="majorBidi"/>
      <w:i/>
      <w:iCs/>
      <w:color w:val="243F60" w:themeColor="accent1" w:themeShade="7F"/>
      <w:kern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72E6"/>
    <w:rPr>
      <w:rFonts w:asciiTheme="majorHAnsi" w:eastAsiaTheme="majorEastAsia" w:hAnsiTheme="majorHAnsi" w:cstheme="majorBidi"/>
      <w:i/>
      <w:iCs/>
      <w:color w:val="404040" w:themeColor="text1" w:themeTint="BF"/>
      <w:kern w:val="22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72E6"/>
    <w:rPr>
      <w:rFonts w:asciiTheme="majorHAnsi" w:eastAsiaTheme="majorEastAsia" w:hAnsiTheme="majorHAnsi" w:cstheme="majorBidi"/>
      <w:color w:val="404040" w:themeColor="text1" w:themeTint="BF"/>
      <w:kern w:val="22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72E6"/>
    <w:rPr>
      <w:rFonts w:asciiTheme="majorHAnsi" w:eastAsiaTheme="majorEastAsia" w:hAnsiTheme="majorHAnsi" w:cstheme="majorBidi"/>
      <w:i/>
      <w:iCs/>
      <w:color w:val="404040" w:themeColor="text1" w:themeTint="BF"/>
      <w:kern w:val="22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39"/>
    <w:rsid w:val="00D172E6"/>
    <w:pPr>
      <w:spacing w:after="0" w:line="240" w:lineRule="auto"/>
      <w:ind w:firstLine="284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17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3-03-03T09:07:35.270"/>
    </inkml:context>
    <inkml:brush xml:id="br0">
      <inkml:brushProperty name="width" value="0.5" units="cm"/>
      <inkml:brushProperty name="height" value="1" units="cm"/>
      <inkml:brushProperty name="color" value="#A2D762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1,'0'0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1036</Words>
  <Characters>6216</Characters>
  <Application>Microsoft Office Word</Application>
  <DocSecurity>0</DocSecurity>
  <Lines>51</Lines>
  <Paragraphs>14</Paragraphs>
  <ScaleCrop>false</ScaleCrop>
  <Company/>
  <LinksUpToDate>false</LinksUpToDate>
  <CharactersWithSpaces>7238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kst-lgd@outlook.com</cp:lastModifiedBy>
  <cp:revision>3</cp:revision>
  <dcterms:created xsi:type="dcterms:W3CDTF">2023-05-25T10:43:00Z</dcterms:created>
  <dcterms:modified xsi:type="dcterms:W3CDTF">2023-05-25T11:46:00Z</dcterms:modified>
</cp:coreProperties>
</file>